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left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5</w:t>
      </w:r>
    </w:p>
    <w:p>
      <w:pPr>
        <w:spacing w:line="360" w:lineRule="auto"/>
        <w:contextualSpacing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服务机器人专区、智慧医疗专区</w:t>
      </w:r>
    </w:p>
    <w:p>
      <w:pPr>
        <w:spacing w:line="360" w:lineRule="auto"/>
        <w:contextualSpacing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电子版企业申报材料格式要求</w:t>
      </w:r>
    </w:p>
    <w:p>
      <w:pPr>
        <w:spacing w:line="360" w:lineRule="auto"/>
        <w:contextualSpacing/>
        <w:rPr>
          <w:rFonts w:ascii="仿宋_GB2312" w:hAnsi="宋体" w:eastAsia="仿宋_GB2312"/>
          <w:sz w:val="32"/>
          <w:szCs w:val="32"/>
        </w:rPr>
      </w:pPr>
    </w:p>
    <w:p>
      <w:pPr>
        <w:shd w:val="clear" w:color="auto" w:fill="FFFFFF"/>
        <w:spacing w:line="360" w:lineRule="auto"/>
        <w:ind w:firstLine="640" w:firstLineChars="200"/>
        <w:contextualSpacing/>
        <w:rPr>
          <w:rFonts w:ascii="仿宋_GB2312" w:hAnsi="Segoe UI" w:eastAsia="仿宋_GB2312" w:cs="Segoe UI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</w:rPr>
        <w:t>为确保申报材料的规范统一，便于高效审核与整理，现就服务机器人专区、智慧医疗专区电子版企业申报材料的格式提出如下要求，请各申报企业严格遵照执行。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565" w:firstLineChars="176"/>
        <w:contextualSpacing/>
        <w:jc w:val="both"/>
        <w:rPr>
          <w:rFonts w:ascii="仿宋_GB2312" w:hAnsi="Segoe UI" w:eastAsia="仿宋_GB2312" w:cs="Segoe UI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</w:rPr>
        <w:t>一、文件夹命名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contextualSpacing/>
        <w:rPr>
          <w:rFonts w:ascii="仿宋_GB2312" w:hAnsi="Segoe UI" w:eastAsia="仿宋_GB2312" w:cs="Segoe UI"/>
          <w:color w:val="222222"/>
          <w:sz w:val="32"/>
          <w:szCs w:val="32"/>
        </w:rPr>
      </w:pPr>
      <w:r>
        <w:rPr>
          <w:rStyle w:val="8"/>
          <w:rFonts w:hint="eastAsia" w:ascii="仿宋_GB2312" w:hAnsi="Segoe UI" w:eastAsia="仿宋_GB2312" w:cs="Segoe UI"/>
          <w:color w:val="222222"/>
          <w:sz w:val="32"/>
          <w:szCs w:val="32"/>
        </w:rPr>
        <w:t>顶级文件夹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：每家公司的申报材料须单独存放于一个顶级文件夹内。该文件夹命名格式为“</w:t>
      </w:r>
      <w:r>
        <w:rPr>
          <w:rFonts w:hint="eastAsia" w:ascii="仿宋_GB2312" w:hAnsi="Segoe UI" w:eastAsia="仿宋_GB2312" w:cs="Segoe UI"/>
          <w:color w:val="222222"/>
          <w:sz w:val="32"/>
          <w:szCs w:val="32"/>
          <w:lang w:eastAsia="zh-CN"/>
        </w:rPr>
        <w:t>中山分团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 xml:space="preserve"> + 申报公司名称”。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contextualSpacing/>
        <w:rPr>
          <w:rFonts w:ascii="仿宋_GB2312" w:hAnsi="Segoe UI" w:eastAsia="仿宋_GB2312" w:cs="Segoe UI"/>
          <w:color w:val="222222"/>
          <w:sz w:val="32"/>
          <w:szCs w:val="32"/>
        </w:rPr>
      </w:pPr>
      <w:r>
        <w:rPr>
          <w:rStyle w:val="8"/>
          <w:rFonts w:hint="eastAsia" w:ascii="仿宋_GB2312" w:hAnsi="Segoe UI" w:eastAsia="仿宋_GB2312" w:cs="Segoe UI"/>
          <w:color w:val="222222"/>
          <w:sz w:val="32"/>
          <w:szCs w:val="32"/>
        </w:rPr>
        <w:t>内部层级文件夹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：依据评审目录，对申报材料进行层级分类，设置五个大类的文件夹：1 企业基本情况、2 境内外商标、3 研发创新和自主知识产权、4 国际通行认证、5</w:t>
      </w:r>
      <w:r>
        <w:rPr>
          <w:rFonts w:ascii="仿宋_GB2312" w:hAnsi="Segoe UI" w:eastAsia="仿宋_GB2312" w:cs="Segoe UI"/>
          <w:color w:val="222222"/>
          <w:sz w:val="32"/>
          <w:szCs w:val="32"/>
        </w:rPr>
        <w:t xml:space="preserve"> 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自主可控能力。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根据评审要求，将申报材料准确存放于对应的文件夹内。同时，若某一大类文件夹下材料较多，可进一步细分小类文件夹进行管理，但小类文件夹层级不宜过多，以方便查找和整理。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contextualSpacing/>
        <w:rPr>
          <w:rFonts w:ascii="仿宋_GB2312" w:hAnsi="Segoe UI" w:eastAsia="仿宋_GB2312" w:cs="Segoe UI"/>
          <w:color w:val="222222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展位申报申请表（附件4）、申报材料汇总表（附件5）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  <w:lang w:eastAsia="zh-CN"/>
        </w:rPr>
        <w:t>的可编辑电子版也需同步作为邮件附件提交。</w:t>
      </w:r>
    </w:p>
    <w:p>
      <w:pPr>
        <w:widowControl/>
        <w:shd w:val="clear" w:color="auto" w:fill="FFFFFF"/>
        <w:spacing w:line="360" w:lineRule="auto"/>
        <w:ind w:left="567"/>
        <w:contextualSpacing/>
        <w:rPr>
          <w:rFonts w:ascii="仿宋_GB2312" w:hAnsi="Segoe UI" w:eastAsia="仿宋_GB2312" w:cs="Segoe UI"/>
          <w:color w:val="222222"/>
          <w:sz w:val="32"/>
          <w:szCs w:val="32"/>
        </w:rPr>
      </w:pPr>
      <w:r>
        <w:rPr>
          <w:rStyle w:val="8"/>
          <w:rFonts w:hint="eastAsia" w:ascii="仿宋_GB2312" w:hAnsi="Segoe UI" w:eastAsia="仿宋_GB2312" w:cs="Segoe UI"/>
          <w:color w:val="222222"/>
          <w:sz w:val="32"/>
          <w:szCs w:val="32"/>
        </w:rPr>
        <w:t>示例说明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：</w:t>
      </w:r>
    </w:p>
    <w:p>
      <w:pPr>
        <w:widowControl/>
        <w:shd w:val="clear" w:color="auto" w:fill="FFFFFF"/>
        <w:spacing w:line="360" w:lineRule="auto"/>
        <w:ind w:left="567"/>
        <w:contextualSpacing/>
        <w:rPr>
          <w:rFonts w:ascii="仿宋_GB2312" w:hAnsi="Segoe UI" w:eastAsia="仿宋_GB2312" w:cs="Segoe UI"/>
          <w:color w:val="222222"/>
          <w:sz w:val="32"/>
          <w:szCs w:val="32"/>
        </w:rPr>
      </w:pPr>
      <w:r>
        <w:drawing>
          <wp:inline distT="0" distB="0" distL="0" distR="0">
            <wp:extent cx="3095625" cy="3686175"/>
            <wp:effectExtent l="0" t="0" r="9525" b="952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仿宋_GB2312" w:hAnsi="Segoe UI" w:eastAsia="仿宋_GB2312" w:cs="Segoe UI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</w:rPr>
        <w:t>二、文件格式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仿宋_GB2312" w:hAnsi="Segoe UI" w:eastAsia="仿宋_GB2312" w:cs="Segoe UI"/>
          <w:b w:val="0"/>
          <w:color w:val="222222"/>
          <w:sz w:val="32"/>
          <w:szCs w:val="32"/>
        </w:rPr>
      </w:pPr>
      <w:r>
        <w:rPr>
          <w:rFonts w:hint="eastAsia" w:ascii="仿宋_GB2312" w:hAnsi="Segoe UI" w:eastAsia="仿宋_GB2312" w:cs="Segoe UI"/>
          <w:b w:val="0"/>
          <w:sz w:val="32"/>
          <w:szCs w:val="32"/>
        </w:rPr>
        <w:t>申报文件统一使用</w:t>
      </w:r>
      <w:r>
        <w:rPr>
          <w:rFonts w:hint="eastAsia" w:ascii="仿宋_GB2312" w:hAnsi="Segoe UI" w:eastAsia="仿宋_GB2312" w:cs="Segoe UI"/>
          <w:b w:val="0"/>
          <w:color w:val="222222"/>
          <w:sz w:val="32"/>
          <w:szCs w:val="32"/>
        </w:rPr>
        <w:t>docx、jpg、pdf格式，不要使用.wps 等小众格式或低版本 Word 的.doc 格式。</w:t>
      </w:r>
    </w:p>
    <w:p>
      <w:pPr>
        <w:pStyle w:val="12"/>
        <w:widowControl/>
        <w:numPr>
          <w:ilvl w:val="0"/>
          <w:numId w:val="2"/>
        </w:numPr>
        <w:spacing w:line="360" w:lineRule="auto"/>
        <w:ind w:firstLineChars="0"/>
        <w:contextualSpacing/>
        <w:outlineLvl w:val="1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文件命名</w:t>
      </w:r>
    </w:p>
    <w:p>
      <w:pPr>
        <w:widowControl/>
        <w:shd w:val="clear" w:color="auto" w:fill="FFFFFF"/>
        <w:spacing w:line="360" w:lineRule="auto"/>
        <w:ind w:firstLine="560" w:firstLineChars="175"/>
        <w:contextualSpacing/>
        <w:rPr>
          <w:rFonts w:ascii="仿宋_GB2312" w:hAnsi="Segoe UI" w:eastAsia="仿宋_GB2312" w:cs="Segoe UI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kern w:val="0"/>
          <w:sz w:val="32"/>
          <w:szCs w:val="32"/>
        </w:rPr>
        <w:t>1</w:t>
      </w:r>
      <w:r>
        <w:rPr>
          <w:rFonts w:ascii="仿宋_GB2312" w:hAnsi="Segoe UI" w:eastAsia="仿宋_GB2312" w:cs="Segoe UI"/>
          <w:kern w:val="0"/>
          <w:sz w:val="32"/>
          <w:szCs w:val="32"/>
        </w:rPr>
        <w:t>.</w:t>
      </w:r>
      <w:r>
        <w:rPr>
          <w:rFonts w:hint="eastAsia" w:ascii="仿宋_GB2312" w:hAnsi="Segoe UI" w:eastAsia="仿宋_GB2312" w:cs="Segoe UI"/>
          <w:kern w:val="0"/>
          <w:sz w:val="32"/>
          <w:szCs w:val="32"/>
        </w:rPr>
        <w:t>所有文件命名应简洁明了，准确反映文件内容。文件名中不得包含特殊字符（如 / \ : *? " &lt; &gt; | 等）和空格。</w:t>
      </w:r>
    </w:p>
    <w:p>
      <w:pPr>
        <w:widowControl/>
        <w:shd w:val="clear" w:color="auto" w:fill="FFFFFF"/>
        <w:spacing w:line="360" w:lineRule="auto"/>
        <w:ind w:firstLine="563" w:firstLineChars="176"/>
        <w:contextualSpacing/>
        <w:rPr>
          <w:rFonts w:hint="eastAsia" w:ascii="仿宋_GB2312" w:hAnsi="Segoe UI" w:eastAsia="仿宋_GB2312" w:cs="Segoe UI"/>
          <w:color w:val="222222"/>
          <w:kern w:val="0"/>
          <w:sz w:val="32"/>
          <w:szCs w:val="32"/>
        </w:rPr>
      </w:pPr>
      <w:r>
        <w:rPr>
          <w:rFonts w:ascii="仿宋_GB2312" w:hAnsi="Segoe UI" w:eastAsia="仿宋_GB2312" w:cs="Segoe UI"/>
          <w:bCs/>
          <w:kern w:val="0"/>
          <w:sz w:val="32"/>
          <w:szCs w:val="32"/>
        </w:rPr>
        <w:t>2.</w:t>
      </w:r>
      <w:r>
        <w:rPr>
          <w:rFonts w:hint="eastAsia" w:ascii="仿宋_GB2312" w:hAnsi="Segoe UI" w:eastAsia="仿宋_GB2312" w:cs="Segoe UI"/>
          <w:color w:val="222222"/>
          <w:kern w:val="0"/>
          <w:sz w:val="32"/>
          <w:szCs w:val="32"/>
        </w:rPr>
        <w:t>如涉及多份同类型文件，应依次编号区分，如 “专利证书 01.pdf”“专利证书 02.pdf”等。</w:t>
      </w:r>
    </w:p>
    <w:p>
      <w:pPr>
        <w:widowControl/>
        <w:shd w:val="clear" w:color="auto" w:fill="FFFFFF"/>
        <w:spacing w:line="360" w:lineRule="auto"/>
        <w:ind w:firstLine="565" w:firstLineChars="176"/>
        <w:contextualSpacing/>
        <w:rPr>
          <w:rFonts w:hint="eastAsia" w:ascii="仿宋_GB2312" w:hAnsi="Segoe UI" w:eastAsia="仿宋_GB2312" w:cs="Segoe UI"/>
          <w:b/>
          <w:bCs/>
          <w:color w:val="222222"/>
          <w:kern w:val="0"/>
          <w:sz w:val="32"/>
          <w:szCs w:val="32"/>
          <w:lang w:eastAsia="zh-CN"/>
        </w:rPr>
      </w:pPr>
      <w:r>
        <w:rPr>
          <w:rFonts w:hint="eastAsia" w:ascii="仿宋_GB2312" w:hAnsi="Segoe UI" w:eastAsia="仿宋_GB2312" w:cs="Segoe UI"/>
          <w:b/>
          <w:bCs/>
          <w:color w:val="222222"/>
          <w:kern w:val="0"/>
          <w:sz w:val="32"/>
          <w:szCs w:val="32"/>
          <w:lang w:eastAsia="zh-CN"/>
        </w:rPr>
        <w:t>四、资料提交</w:t>
      </w:r>
    </w:p>
    <w:p>
      <w:pPr>
        <w:widowControl/>
        <w:shd w:val="clear" w:color="auto" w:fill="FFFFFF"/>
        <w:spacing w:line="360" w:lineRule="auto"/>
        <w:ind w:firstLine="563" w:firstLineChars="176"/>
        <w:contextualSpacing/>
        <w:rPr>
          <w:rFonts w:ascii="仿宋_GB2312" w:hAnsi="Segoe UI" w:eastAsia="仿宋_GB2312" w:cs="Segoe UI"/>
          <w:color w:val="222222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color w:val="222222"/>
          <w:kern w:val="0"/>
          <w:sz w:val="32"/>
          <w:szCs w:val="32"/>
          <w:lang w:eastAsia="zh-CN"/>
        </w:rPr>
        <w:t>请于</w:t>
      </w:r>
      <w:r>
        <w:rPr>
          <w:rFonts w:hint="eastAsia" w:ascii="仿宋_GB2312" w:hAnsi="Segoe UI" w:eastAsia="仿宋_GB2312" w:cs="Segoe UI"/>
          <w:color w:val="222222"/>
          <w:kern w:val="0"/>
          <w:sz w:val="32"/>
          <w:szCs w:val="32"/>
          <w:lang w:val="en-US" w:eastAsia="zh-CN"/>
        </w:rPr>
        <w:t>2026年1月9日前将申请材料电子版发送至中山分团邮箱（mck@zsboc.gov.cn），并将纸质版资料（胶装一式三份，每页资料加盖公章）送至中山分团（地址：广东省中山市石岐街道中山二路57号B座306室）进行现场审核。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E5ADF"/>
    <w:multiLevelType w:val="multilevel"/>
    <w:tmpl w:val="392E5AD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E592F20"/>
    <w:multiLevelType w:val="multilevel"/>
    <w:tmpl w:val="3E592F20"/>
    <w:lvl w:ilvl="0" w:tentative="0">
      <w:start w:val="3"/>
      <w:numFmt w:val="japaneseCounting"/>
      <w:lvlText w:val="%1、"/>
      <w:lvlJc w:val="left"/>
      <w:pPr>
        <w:ind w:left="128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5" w:hanging="420"/>
      </w:pPr>
    </w:lvl>
    <w:lvl w:ilvl="2" w:tentative="0">
      <w:start w:val="1"/>
      <w:numFmt w:val="lowerRoman"/>
      <w:lvlText w:val="%3."/>
      <w:lvlJc w:val="right"/>
      <w:pPr>
        <w:ind w:left="1825" w:hanging="420"/>
      </w:pPr>
    </w:lvl>
    <w:lvl w:ilvl="3" w:tentative="0">
      <w:start w:val="1"/>
      <w:numFmt w:val="decimal"/>
      <w:lvlText w:val="%4."/>
      <w:lvlJc w:val="left"/>
      <w:pPr>
        <w:ind w:left="2245" w:hanging="420"/>
      </w:pPr>
    </w:lvl>
    <w:lvl w:ilvl="4" w:tentative="0">
      <w:start w:val="1"/>
      <w:numFmt w:val="lowerLetter"/>
      <w:lvlText w:val="%5)"/>
      <w:lvlJc w:val="left"/>
      <w:pPr>
        <w:ind w:left="2665" w:hanging="420"/>
      </w:pPr>
    </w:lvl>
    <w:lvl w:ilvl="5" w:tentative="0">
      <w:start w:val="1"/>
      <w:numFmt w:val="lowerRoman"/>
      <w:lvlText w:val="%6."/>
      <w:lvlJc w:val="right"/>
      <w:pPr>
        <w:ind w:left="3085" w:hanging="420"/>
      </w:pPr>
    </w:lvl>
    <w:lvl w:ilvl="6" w:tentative="0">
      <w:start w:val="1"/>
      <w:numFmt w:val="decimal"/>
      <w:lvlText w:val="%7."/>
      <w:lvlJc w:val="left"/>
      <w:pPr>
        <w:ind w:left="3505" w:hanging="420"/>
      </w:pPr>
    </w:lvl>
    <w:lvl w:ilvl="7" w:tentative="0">
      <w:start w:val="1"/>
      <w:numFmt w:val="lowerLetter"/>
      <w:lvlText w:val="%8)"/>
      <w:lvlJc w:val="left"/>
      <w:pPr>
        <w:ind w:left="3925" w:hanging="420"/>
      </w:pPr>
    </w:lvl>
    <w:lvl w:ilvl="8" w:tentative="0">
      <w:start w:val="1"/>
      <w:numFmt w:val="lowerRoman"/>
      <w:lvlText w:val="%9."/>
      <w:lvlJc w:val="right"/>
      <w:pPr>
        <w:ind w:left="43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12"/>
    <w:rsid w:val="000234A1"/>
    <w:rsid w:val="00087CC5"/>
    <w:rsid w:val="00184A3E"/>
    <w:rsid w:val="00321D12"/>
    <w:rsid w:val="00481953"/>
    <w:rsid w:val="004E42DB"/>
    <w:rsid w:val="00522088"/>
    <w:rsid w:val="00570490"/>
    <w:rsid w:val="0057392D"/>
    <w:rsid w:val="005E3667"/>
    <w:rsid w:val="00761887"/>
    <w:rsid w:val="0076697B"/>
    <w:rsid w:val="0089631D"/>
    <w:rsid w:val="008F6020"/>
    <w:rsid w:val="00975CF7"/>
    <w:rsid w:val="009C3677"/>
    <w:rsid w:val="00A9374F"/>
    <w:rsid w:val="00C700BF"/>
    <w:rsid w:val="00EB0B48"/>
    <w:rsid w:val="00EB0D54"/>
    <w:rsid w:val="00F40929"/>
    <w:rsid w:val="00F94477"/>
    <w:rsid w:val="4FFEFEC0"/>
    <w:rsid w:val="5F007A83"/>
    <w:rsid w:val="79719833"/>
    <w:rsid w:val="7EEE77A4"/>
    <w:rsid w:val="FFEFD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270</Characters>
  <Lines>15</Lines>
  <Paragraphs>12</Paragraphs>
  <TotalTime>1</TotalTime>
  <ScaleCrop>false</ScaleCrop>
  <LinksUpToDate>false</LinksUpToDate>
  <CharactersWithSpaces>512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2025-12-15T21:54:00Z</dcterms:created>
  <dc:creator>普静</dc:creator>
  <cp:lastModifiedBy>lwy</cp:lastModifiedBy>
  <dcterms:modified xsi:type="dcterms:W3CDTF">2025-12-16T18:48:21Z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eyJoZGlkIjoiMWIxMTFlMzY1Y2QxZGRhODNmZjk5NjRjNGQ3MTI3YmUiLCJ1c2VySWQiOiIxNjQ0OTI5Mjg4In0=</vt:lpwstr>
  </property>
  <property fmtid="{D5CDD505-2E9C-101B-9397-08002B2CF9AE}" pid="3" name="KSOProductBuildVer">
    <vt:lpwstr>2052-11.8.2.9980</vt:lpwstr>
  </property>
  <property fmtid="{D5CDD505-2E9C-101B-9397-08002B2CF9AE}" pid="4" name="ICV">
    <vt:lpwstr>CF19B80F11284778825BCBD755CEAB5B_12</vt:lpwstr>
  </property>
</Properties>
</file>