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400C49CB">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val="en-US"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2026年至2027年消防系统维护保养</w:t>
      </w:r>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val="en-US" w:eastAsia="zh-CN"/>
        </w:rPr>
        <w:t>采购</w:t>
      </w:r>
      <w:r>
        <w:rPr>
          <w:rFonts w:hint="eastAsia" w:ascii="黑体" w:hAnsi="黑体" w:eastAsia="黑体" w:cs="黑体"/>
          <w:b/>
          <w:bCs w:val="0"/>
          <w:color w:val="auto"/>
          <w:highlight w:val="none"/>
          <w:lang w:eastAsia="zh-CN"/>
        </w:rPr>
        <w:t>项目</w:t>
      </w:r>
      <w:bookmarkEnd w:id="0"/>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2026年至2027年消防系统维护保养采购</w:t>
      </w:r>
      <w:r>
        <w:rPr>
          <w:rFonts w:hint="eastAsia" w:ascii="宋体" w:hAnsi="宋体" w:eastAsia="宋体" w:cs="宋体"/>
          <w:bCs/>
          <w:color w:val="auto"/>
          <w:sz w:val="21"/>
          <w:szCs w:val="21"/>
          <w:highlight w:val="none"/>
          <w:lang w:eastAsia="zh-CN"/>
        </w:rPr>
        <w:t>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2026年至2027年消防系统维护保养采购</w:t>
      </w:r>
      <w:r>
        <w:rPr>
          <w:rFonts w:hint="eastAsia" w:ascii="宋体" w:hAnsi="宋体" w:eastAsia="宋体" w:cs="宋体"/>
          <w:color w:val="auto"/>
          <w:kern w:val="28"/>
          <w:sz w:val="21"/>
          <w:szCs w:val="21"/>
          <w:highlight w:val="none"/>
          <w:lang w:eastAsia="zh-CN"/>
        </w:rPr>
        <w:t>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b/>
          <w:bCs/>
          <w:color w:val="auto"/>
          <w:sz w:val="21"/>
          <w:szCs w:val="21"/>
          <w:highlight w:val="none"/>
          <w:lang w:eastAsia="zh-CN"/>
        </w:rPr>
        <w:t>：</w:t>
      </w:r>
      <w:r>
        <w:rPr>
          <w:rFonts w:hint="eastAsia" w:ascii="宋体" w:hAnsi="宋体" w:cs="宋体"/>
          <w:color w:val="000000" w:themeColor="text1"/>
          <w:sz w:val="21"/>
          <w:szCs w:val="21"/>
          <w:highlight w:val="none"/>
          <w:lang w:val="en-US" w:eastAsia="zh-CN"/>
          <w14:textFill>
            <w14:solidFill>
              <w14:schemeClr w14:val="tx1"/>
            </w14:solidFill>
          </w14:textFill>
        </w:rPr>
        <w:t>44,000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6"/>
        <w:tblW w:w="3761" w:type="pct"/>
        <w:tblInd w:w="61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980"/>
        <w:gridCol w:w="990"/>
        <w:gridCol w:w="1280"/>
        <w:gridCol w:w="1179"/>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3980" w:type="dxa"/>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990" w:type="dxa"/>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1280" w:type="dxa"/>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预算单价</w:t>
            </w:r>
            <w:r>
              <w:rPr>
                <w:rFonts w:hint="eastAsia" w:ascii="宋体" w:hAnsi="宋体" w:eastAsia="宋体" w:cs="宋体"/>
                <w:i w:val="0"/>
                <w:iCs w:val="0"/>
                <w:color w:val="auto"/>
                <w:kern w:val="0"/>
                <w:sz w:val="21"/>
                <w:szCs w:val="21"/>
                <w:highlight w:val="none"/>
                <w:u w:val="none"/>
                <w:lang w:val="en-US" w:eastAsia="zh-CN" w:bidi="ar"/>
              </w:rPr>
              <w:t>（元</w:t>
            </w:r>
            <w:r>
              <w:rPr>
                <w:rFonts w:hint="eastAsia" w:ascii="宋体" w:hAnsi="宋体" w:cs="宋体"/>
                <w:i w:val="0"/>
                <w:iCs w:val="0"/>
                <w:color w:val="auto"/>
                <w:kern w:val="0"/>
                <w:sz w:val="21"/>
                <w:szCs w:val="21"/>
                <w:highlight w:val="none"/>
                <w:u w:val="none"/>
                <w:lang w:val="en-US" w:eastAsia="zh-CN" w:bidi="ar"/>
              </w:rPr>
              <w:t>/年</w:t>
            </w:r>
            <w:r>
              <w:rPr>
                <w:rFonts w:hint="eastAsia" w:ascii="宋体" w:hAnsi="宋体" w:eastAsia="宋体" w:cs="宋体"/>
                <w:i w:val="0"/>
                <w:iCs w:val="0"/>
                <w:color w:val="auto"/>
                <w:kern w:val="0"/>
                <w:sz w:val="21"/>
                <w:szCs w:val="21"/>
                <w:highlight w:val="none"/>
                <w:u w:val="none"/>
                <w:lang w:val="en-US" w:eastAsia="zh-CN" w:bidi="ar"/>
              </w:rPr>
              <w:t>）</w:t>
            </w:r>
          </w:p>
        </w:tc>
        <w:tc>
          <w:tcPr>
            <w:tcW w:w="1179" w:type="dxa"/>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预算总价</w:t>
            </w:r>
            <w:r>
              <w:rPr>
                <w:rFonts w:hint="eastAsia" w:ascii="宋体" w:hAnsi="宋体" w:eastAsia="宋体" w:cs="宋体"/>
                <w:i w:val="0"/>
                <w:iCs w:val="0"/>
                <w:color w:val="auto"/>
                <w:kern w:val="0"/>
                <w:sz w:val="21"/>
                <w:szCs w:val="21"/>
                <w:highlight w:val="none"/>
                <w:u w:val="none"/>
                <w:lang w:val="en-US" w:eastAsia="zh-CN" w:bidi="ar"/>
              </w:rPr>
              <w:t>（元）</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3980" w:type="dxa"/>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2026年至2027年消防系统维护保养</w:t>
            </w:r>
          </w:p>
        </w:tc>
        <w:tc>
          <w:tcPr>
            <w:tcW w:w="990" w:type="dxa"/>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1280" w:type="dxa"/>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22,000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179" w:type="dxa"/>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44,000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0E621A2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38AABA6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全院范围内的自动消防系统（包括但不限于综合楼-1至8楼所有楼层、门诊楼、中医馆、口腔科等），包括但不限于以下维护保养：①消防供配电设施；②火灾自动报警系统；③消防供水设施；④消火栓灭火系统；⑤自动喷水灭火系统；⑥防/排烟系统；⑦应急照明和疏散指示标志检查；⑧应急广播系统；⑨消防专用电话；⑩防火分隔设施；⑪消防电梯系统；⑫灭火器检查；⑬消防泵检查维修等项目。</w:t>
      </w:r>
    </w:p>
    <w:p w14:paraId="3DD58262">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自动消防系统维护保养按照</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要求和国家《建筑消防设施维护管理办法》(GA-587-2005)进行相关维保工作，符合国家相关规范及达到消防安全标准。</w:t>
      </w:r>
    </w:p>
    <w:p w14:paraId="6DA00D0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自动消防系统维护保养具体内容如下：</w:t>
      </w:r>
    </w:p>
    <w:p w14:paraId="09FE7A6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火灾自动报警系统：①烟温复合探测器；②感烟探测器、感温探测器；③手动报警按钮、消火栓按钮；④声光报警器；⑤消防事故广播；⑥消防对讲系统；⑦楼层显示盘；⑧消防联动（含消火栓泵、自动喷淋泵、雨淋泵、消防事故广播、声光报警器、防火卷帘门、非消防电源控制、疏散指示及安全出口指示装置）；⑨火灾自动报警系统主机（含监控系统、消防电源）；⑩消防电源线路、消防信号线路、消防屏蔽线路。</w:t>
      </w:r>
    </w:p>
    <w:p w14:paraId="69752F8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消防给水灭火系统：①消火栓灭火系统（消防泵、水泵接合器、水泵控制柜、消防水管网、阀门、仪表、消火栓）；②自动喷淋灭火系统（喷淋泵、水泵接合器、水泵控制柜、喷淋水管、阀门、仪表、湿式报警阀、水流指示器、喷头、末端试水装置）；③雨淋灭火系统（雨淋泵、水泵接合器、水泵控制柜、阀门、雨淋水管、仪表、雨淋报警阀）。</w:t>
      </w:r>
    </w:p>
    <w:p w14:paraId="5772E30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服务期限</w:t>
      </w:r>
    </w:p>
    <w:p w14:paraId="76DC17A0">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2026年1月1日至2027年12月31日（具体以合同签订之日起至2027年12月31日止）。</w:t>
      </w:r>
    </w:p>
    <w:p w14:paraId="10015DD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lang w:val="en-US" w:eastAsia="zh-CN"/>
        </w:rPr>
      </w:pPr>
      <w:r>
        <w:rPr>
          <w:rFonts w:hint="eastAsia" w:ascii="宋体" w:hAnsi="宋体" w:cs="宋体"/>
          <w:color w:val="auto"/>
          <w:sz w:val="21"/>
          <w:szCs w:val="21"/>
          <w:highlight w:val="none"/>
          <w:lang w:val="en-US" w:eastAsia="zh-CN"/>
        </w:rPr>
        <w:t>（三）技术</w:t>
      </w:r>
      <w:r>
        <w:rPr>
          <w:rFonts w:hint="eastAsia" w:ascii="宋体" w:hAnsi="宋体" w:eastAsia="宋体" w:cs="宋体"/>
          <w:color w:val="auto"/>
          <w:sz w:val="21"/>
          <w:szCs w:val="21"/>
          <w:highlight w:val="none"/>
          <w:lang w:val="en-US" w:eastAsia="zh-CN"/>
        </w:rPr>
        <w:t>要求</w:t>
      </w:r>
    </w:p>
    <w:p w14:paraId="72763829">
      <w:pPr>
        <w:pStyle w:val="8"/>
        <w:rPr>
          <w:rFonts w:hint="default"/>
          <w:lang w:val="en-US" w:eastAsia="zh-CN"/>
        </w:rPr>
      </w:pPr>
      <w:r>
        <w:rPr>
          <w:rFonts w:hint="eastAsia" w:ascii="宋体" w:hAnsi="宋体" w:cs="宋体"/>
          <w:color w:val="auto"/>
          <w:sz w:val="21"/>
          <w:szCs w:val="21"/>
          <w:highlight w:val="none"/>
          <w:lang w:val="en-US" w:eastAsia="zh-CN"/>
        </w:rPr>
        <w:t xml:space="preserve">    1.服务要求</w:t>
      </w:r>
    </w:p>
    <w:p w14:paraId="6F23258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供应商按照采购人提出的技术要求和国家相关规范对采购人自动消防系统进行维护保养。</w:t>
      </w:r>
    </w:p>
    <w:p w14:paraId="0FBCCB4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供应商对采购人自动消防系统提供24小时全天候应急处理服务。接到采购人紧急维修通知后，供应商技术人员必须在2小时内赶到现场，对系统进行紧急维护。每次维护完毕，供应商须提供维护报告，采购人须在报告上签字或盖章确认，双方各执一份。</w:t>
      </w:r>
    </w:p>
    <w:p w14:paraId="00A0849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在消防系统正常情况下，供应商每月应进行一次综合性维护和保养，并出具维保报告。</w:t>
      </w:r>
    </w:p>
    <w:p w14:paraId="23E4B44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零配件更换：供应商在保养期中如发现消防系统需要更换零配件，应及时向采购人提出，并提供零配件和更换相关人工费的市场报价，经采购人书面同意后，供应商方可进行更换。如材料、设备由采购人自行提供，由供应商更换时，设备质量由采购人负责。设备保质期内供应商不给予检查，如采购人要求供应商检查，供应商则事前提供相关人工费的市场报价，经采购人书面确认后再实施。</w:t>
      </w:r>
    </w:p>
    <w:p w14:paraId="78096BD9">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在维保期间，如因采购人或第三方装修、整改等，应对整改区域内的消防报警设备及线路，自行进行妥善保护，避免施工时人为原因产生的粉尘造成探查器误报及系统设备故障现象。同时作业方须对作业区域施工的消防线路、设备质量及消防安全负责，在施工完毕后须对施工区域承担6个月以上的质保相应责任，质保期内出现的任何问题均由施工方承担责任。如装修区出现任何故障（需耗人工一天以上），供应商需对该区域系统进行检查或恢复，所发生的一切费用（如交通费、人工费等）由采购人负责并承担相应责任。供应商作为采购人的合作单位，对项目日常整改施工，在同等价格的原则下优先选用。</w:t>
      </w:r>
    </w:p>
    <w:p w14:paraId="26CFDC0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在维保期间，火灾自动报警系统如需编程及调试，未经供应商和采购人双方许可，不得由第三方对火灾自动报警主机进行调试、编程；若采购人单方委派人员修改，须聘请主机授权的厂家工程师并签订责任书，对该次的程序修改负全责，同时需书面通知供应商，经供应商同意后方可操作，若未征得供应商同意操作，造成系统出现任何问题，供应商均不承担任何责任。为了确保消防系统的正常运行，保障维保工作的有效完成，火灾自动报警系统编程及调试也可在双方协商一致后交由供应商完成，供应商收取合理的编程调试费。</w:t>
      </w:r>
    </w:p>
    <w:p w14:paraId="2F5B4E3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en-US" w:eastAsia="zh-CN"/>
        </w:rPr>
        <w:t>采购人应遵守有关消防规范的规定，负责消防系统的日常例行管理、维护；当供应商人员按合同</w:t>
      </w:r>
      <w:r>
        <w:rPr>
          <w:rFonts w:hint="eastAsia" w:ascii="宋体" w:hAnsi="宋体" w:cs="宋体"/>
          <w:color w:val="auto"/>
          <w:sz w:val="21"/>
          <w:szCs w:val="21"/>
          <w:highlight w:val="none"/>
          <w:lang w:val="en-US" w:eastAsia="zh-CN"/>
        </w:rPr>
        <w:t>约定</w:t>
      </w:r>
      <w:r>
        <w:rPr>
          <w:rFonts w:hint="eastAsia" w:ascii="宋体" w:hAnsi="宋体" w:eastAsia="宋体" w:cs="宋体"/>
          <w:color w:val="auto"/>
          <w:sz w:val="21"/>
          <w:szCs w:val="21"/>
          <w:highlight w:val="none"/>
          <w:lang w:val="en-US" w:eastAsia="zh-CN"/>
        </w:rPr>
        <w:t xml:space="preserve">对消防系统进行检查及紧急维护服务时，应向供应商人员提交各系统完整的日常运行的各项记录，并为供应商的检查和维护工作提供必要的条件和协助。若有疑问，可在供应商单上注明原因，否则造成的损失与责任由采购人承担。 </w:t>
      </w:r>
    </w:p>
    <w:p w14:paraId="4CC49D6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在维保期间范围内的二次整改，原则上由供应商整改，可在双方协商一致后交由供应商进行编程及调试，并收取相应的费用。如由第三方施工的项目，其所整改的项目由第三方负责消防报建报验并承担6个月以上的质保相应责任。</w:t>
      </w:r>
    </w:p>
    <w:p w14:paraId="1AC3BC6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采购人提供水、电等能源，协助供应商解决维护保养工具放置场地，所有的接电、供水必须经采购人认可后方可实施。安装工具及必要的设备供应商自备，到现场安装发生的一切运输费用由供应商负责，维保人员食宿由供应商自理。</w:t>
      </w:r>
    </w:p>
    <w:p w14:paraId="02B1EE82">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1.10</w:t>
      </w:r>
      <w:r>
        <w:rPr>
          <w:rFonts w:hint="eastAsia" w:ascii="宋体" w:hAnsi="宋体" w:eastAsia="宋体" w:cs="宋体"/>
          <w:color w:val="auto"/>
          <w:sz w:val="21"/>
          <w:szCs w:val="21"/>
          <w:highlight w:val="none"/>
          <w:lang w:val="en-US" w:eastAsia="zh-CN"/>
        </w:rPr>
        <w:t>维护保养过程中如需动火，必须事先办理动火证，且须采购人人员（消防员或生产单位安全员或指派人员）在场的情况下才能动火；使用角磨机等易产生火花的工具须事先告知采购人，经采购人同意后才能使用；用电要注意安全、严加防范。</w:t>
      </w:r>
    </w:p>
    <w:p w14:paraId="7B754B2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1.11</w:t>
      </w:r>
      <w:r>
        <w:rPr>
          <w:rFonts w:hint="eastAsia" w:ascii="宋体" w:hAnsi="宋体" w:eastAsia="宋体" w:cs="宋体"/>
          <w:color w:val="auto"/>
          <w:sz w:val="21"/>
          <w:szCs w:val="21"/>
          <w:highlight w:val="none"/>
          <w:lang w:val="en-US" w:eastAsia="zh-CN"/>
        </w:rPr>
        <w:t>消防事宜事关重大，供应商应尽职尽责，详细检查维修，杜绝隐患，确保消防设备设施处于良好的运行、备用状态。供应商负责消防系统维保工作的安全及质量，文明施工，在消防系统作业中如供应商人为发生违规操作，造成人员伤亡及不良社会影响的，由供应商负责。</w:t>
      </w:r>
    </w:p>
    <w:p w14:paraId="6CEA6470">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1.12</w:t>
      </w:r>
      <w:r>
        <w:rPr>
          <w:rFonts w:hint="eastAsia" w:ascii="宋体" w:hAnsi="宋体" w:eastAsia="宋体" w:cs="宋体"/>
          <w:color w:val="auto"/>
          <w:sz w:val="21"/>
          <w:szCs w:val="21"/>
          <w:highlight w:val="none"/>
          <w:lang w:val="en-US" w:eastAsia="zh-CN"/>
        </w:rPr>
        <w:t>供应商具有向采购人提出有关消防系统维护安全方面建议的建议权，如果采购人未采纳，则供应商不承担相应的责任。</w:t>
      </w:r>
    </w:p>
    <w:p w14:paraId="3C2641D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1.13</w:t>
      </w:r>
      <w:r>
        <w:rPr>
          <w:rFonts w:hint="eastAsia" w:ascii="宋体" w:hAnsi="宋体" w:eastAsia="宋体" w:cs="宋体"/>
          <w:color w:val="auto"/>
          <w:sz w:val="21"/>
          <w:szCs w:val="21"/>
          <w:highlight w:val="none"/>
          <w:lang w:val="en-US" w:eastAsia="zh-CN"/>
        </w:rPr>
        <w:t>合同签订后，供应商对工程范围内的各系统进行一次全面检查，并提交系统检查报告、故障分析及解决办法。陈述系统的工作状况、性能、以及设备因老化可能出现隐患的解决方案。如采购人未能采纳相应的处理措施，则系统隐患产生的一切后果由采购人承担。</w:t>
      </w:r>
    </w:p>
    <w:p w14:paraId="65118ACC">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1.14供应商在每次检查完毕后，均将消防系统的状态调整显示为“自动”状态，如若采购人或第三方后续自行改为“手动”状态从而引</w:t>
      </w:r>
      <w:r>
        <w:rPr>
          <w:rFonts w:hint="eastAsia" w:ascii="宋体" w:hAnsi="宋体" w:cs="宋体"/>
          <w:color w:val="auto"/>
          <w:sz w:val="21"/>
          <w:szCs w:val="21"/>
          <w:highlight w:val="none"/>
          <w:lang w:val="en-US" w:eastAsia="zh-CN"/>
        </w:rPr>
        <w:t>起</w:t>
      </w:r>
      <w:bookmarkStart w:id="1" w:name="_GoBack"/>
      <w:bookmarkEnd w:id="1"/>
      <w:r>
        <w:rPr>
          <w:rFonts w:hint="eastAsia" w:ascii="宋体" w:hAnsi="宋体" w:eastAsia="宋体" w:cs="宋体"/>
          <w:color w:val="auto"/>
          <w:sz w:val="21"/>
          <w:szCs w:val="21"/>
          <w:highlight w:val="none"/>
          <w:lang w:val="en-US" w:eastAsia="zh-CN"/>
        </w:rPr>
        <w:t>消防事故导致消防系统无法工作，所造成的一切损失均与供应商无关。</w:t>
      </w:r>
    </w:p>
    <w:p w14:paraId="68046F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1.15供应商须为采购人培训操作人员，提供相应的技术资料，并辅助、配合采购人进行消防演习。</w:t>
      </w:r>
    </w:p>
    <w:p w14:paraId="456B8B63">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2.人员配置要求：持有消防设施操作证人员2名。</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（四）商务要求</w:t>
      </w:r>
    </w:p>
    <w:p w14:paraId="5FF95A12">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按季度扣除罚金后支付服务费。每季度“服务考评表”中“综合平均分”得分≥90分为“优”，当季度不进行扣罚；若得分＜90分，每低1分扣除当季金额的1%作为罚金后再结算。每个季度结束后供应商提供每月的消防维保作为采购人支付依据，采购人凭供应商开具的消防维保服务费用发票90天内支付。维保期间需要维修和更换配件所产生的费用按院部维修流程申请。</w:t>
      </w:r>
    </w:p>
    <w:p w14:paraId="7974328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2.验收标准和方法</w:t>
      </w:r>
    </w:p>
    <w:p w14:paraId="1F374899">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2.1验收标准：每月对我院消防系统进行一次综合性维护和保养，并出具维保报告。每次维护完毕，需总务科负责人在维保报告签字确认。</w:t>
      </w:r>
    </w:p>
    <w:p w14:paraId="1A2553A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2.2若采购人</w:t>
      </w:r>
      <w:r>
        <w:rPr>
          <w:rFonts w:hint="eastAsia" w:ascii="宋体" w:hAnsi="宋体" w:cs="宋体"/>
          <w:color w:val="auto"/>
          <w:sz w:val="21"/>
          <w:szCs w:val="21"/>
          <w:highlight w:val="none"/>
          <w:lang w:val="en-US" w:eastAsia="zh-CN"/>
        </w:rPr>
        <w:t>总务科</w:t>
      </w:r>
      <w:r>
        <w:rPr>
          <w:rFonts w:hint="eastAsia" w:ascii="宋体" w:hAnsi="宋体" w:eastAsia="宋体" w:cs="宋体"/>
          <w:color w:val="auto"/>
          <w:sz w:val="21"/>
          <w:szCs w:val="21"/>
          <w:highlight w:val="none"/>
          <w:lang w:val="en-US" w:eastAsia="zh-CN"/>
        </w:rPr>
        <w:t>核心小组有2/3或以上人数对中选供应商的服务质量不满意的，且</w:t>
      </w:r>
      <w:r>
        <w:rPr>
          <w:rFonts w:hint="eastAsia" w:ascii="宋体" w:hAnsi="宋体" w:cs="宋体"/>
          <w:color w:val="auto"/>
          <w:sz w:val="21"/>
          <w:szCs w:val="21"/>
          <w:highlight w:val="none"/>
          <w:lang w:val="en-US" w:eastAsia="zh-CN"/>
        </w:rPr>
        <w:t>总务科</w:t>
      </w:r>
      <w:r>
        <w:rPr>
          <w:rFonts w:hint="eastAsia" w:ascii="宋体" w:hAnsi="宋体" w:eastAsia="宋体" w:cs="宋体"/>
          <w:color w:val="auto"/>
          <w:sz w:val="21"/>
          <w:szCs w:val="21"/>
          <w:highlight w:val="none"/>
          <w:lang w:val="en-US" w:eastAsia="zh-CN"/>
        </w:rPr>
        <w:t>核心小组已对其发出书面通报两次或以上的，经院方领导同意，采购人有权终止合同。</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4.技术服务(含培训)要求：供应商负责对所提供的工作人员定期进行业务培训，培训内容包括设服务规范、服务技能、专业知识等，培训后的工作人员达到本项目所需的</w:t>
      </w:r>
      <w:r>
        <w:rPr>
          <w:rFonts w:hint="eastAsia" w:ascii="宋体" w:hAnsi="宋体" w:cs="宋体"/>
          <w:color w:val="auto"/>
          <w:sz w:val="21"/>
          <w:szCs w:val="21"/>
          <w:highlight w:val="none"/>
          <w:lang w:val="en-US" w:eastAsia="zh-CN"/>
        </w:rPr>
        <w:t>技术要求</w:t>
      </w:r>
      <w:r>
        <w:rPr>
          <w:rFonts w:hint="eastAsia" w:ascii="宋体" w:hAnsi="宋体" w:eastAsia="宋体" w:cs="宋体"/>
          <w:color w:val="auto"/>
          <w:sz w:val="21"/>
          <w:szCs w:val="21"/>
          <w:highlight w:val="none"/>
          <w:lang w:val="en-US" w:eastAsia="zh-CN"/>
        </w:rPr>
        <w:t>、服务规范等。</w:t>
      </w:r>
    </w:p>
    <w:p w14:paraId="10F75929">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在验收中发现服务达不到验收标准或合同及合同相关技术文件规定，供应商应及时安排更换为有相关技术培训合格证书的专业工程师继续服务，以保证服务最终达到合同或合同相关技术文件中规定的要求。更换人员的相关费用全部由供应商承担并承担由此造成的一切损失。如更换后的服务人员仍达不到验收标准或合同及合同相关技术文件规定的，采购人可终止全部或部分合同，采购人可以依其认为适当的条件和方法购买</w:t>
      </w:r>
      <w:r>
        <w:rPr>
          <w:rFonts w:hint="eastAsia" w:ascii="宋体" w:hAnsi="宋体" w:cs="宋体"/>
          <w:color w:val="auto"/>
          <w:sz w:val="21"/>
          <w:szCs w:val="21"/>
          <w:highlight w:val="none"/>
          <w:lang w:val="en-US" w:eastAsia="zh-CN"/>
        </w:rPr>
        <w:t>类似服务与</w:t>
      </w:r>
      <w:r>
        <w:rPr>
          <w:rFonts w:hint="eastAsia" w:ascii="宋体" w:hAnsi="宋体" w:eastAsia="宋体" w:cs="宋体"/>
          <w:color w:val="auto"/>
          <w:sz w:val="21"/>
          <w:szCs w:val="21"/>
          <w:highlight w:val="none"/>
          <w:lang w:val="en-US" w:eastAsia="zh-CN"/>
        </w:rPr>
        <w:t>未完成的服务，供应商应承担采购人因购买类似服务而产生的额外支出。但是，供应商应继续执行合同中未终止的部分。采购人保留法律追究的权利。</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（二）供应商须具备相关经营范围且有效的营业执照，经营范围须含“</w:t>
      </w:r>
      <w:r>
        <w:rPr>
          <w:rFonts w:hint="eastAsia" w:ascii="宋体" w:hAnsi="宋体" w:cs="宋体"/>
          <w:b/>
          <w:bCs/>
          <w:i w:val="0"/>
          <w:iCs w:val="0"/>
          <w:color w:val="auto"/>
          <w:kern w:val="0"/>
          <w:sz w:val="21"/>
          <w:szCs w:val="21"/>
          <w:highlight w:val="none"/>
          <w:u w:val="none"/>
          <w:lang w:val="en-US" w:eastAsia="zh-CN" w:bidi="ar"/>
        </w:rPr>
        <w:t>消防技术服务</w:t>
      </w:r>
      <w:r>
        <w:rPr>
          <w:rFonts w:hint="eastAsia" w:ascii="宋体" w:hAnsi="宋体" w:cs="宋体"/>
          <w:i w:val="0"/>
          <w:iCs w:val="0"/>
          <w:color w:val="auto"/>
          <w:kern w:val="0"/>
          <w:sz w:val="21"/>
          <w:szCs w:val="21"/>
          <w:highlight w:val="none"/>
          <w:u w:val="none"/>
          <w:lang w:val="en-US" w:eastAsia="zh-CN" w:bidi="ar"/>
        </w:rPr>
        <w:t>”（提供证明材料复印件加盖供应商公章）。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003815C6">
      <w:pPr>
        <w:pStyle w:val="10"/>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10"/>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w:t>
      </w:r>
      <w:r>
        <w:rPr>
          <w:rFonts w:hint="eastAsia" w:ascii="宋体" w:hAnsi="宋体" w:cs="宋体"/>
          <w:bCs/>
          <w:color w:val="auto"/>
          <w:sz w:val="21"/>
          <w:szCs w:val="21"/>
          <w:highlight w:val="none"/>
          <w:lang w:val="en-US" w:eastAsia="zh-CN"/>
        </w:rPr>
        <w:t>项目最高限价或</w:t>
      </w:r>
      <w:r>
        <w:rPr>
          <w:rFonts w:hint="eastAsia" w:ascii="宋体" w:hAnsi="宋体" w:eastAsia="宋体" w:cs="宋体"/>
          <w:bCs/>
          <w:color w:val="auto"/>
          <w:sz w:val="21"/>
          <w:szCs w:val="21"/>
          <w:highlight w:val="none"/>
          <w:lang w:val="en-US" w:eastAsia="zh-CN"/>
        </w:rPr>
        <w:t>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10"/>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10"/>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6"/>
        <w:tblW w:w="5023"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2"/>
        <w:gridCol w:w="1622"/>
        <w:gridCol w:w="7071"/>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9"/>
                <w:rFonts w:hint="eastAsia" w:ascii="宋体" w:hAnsi="宋体" w:eastAsia="宋体" w:cs="宋体"/>
                <w:color w:val="333333"/>
                <w:sz w:val="21"/>
                <w:szCs w:val="21"/>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9"/>
                <w:rFonts w:hint="eastAsia" w:ascii="宋体" w:hAnsi="宋体" w:eastAsia="宋体" w:cs="宋体"/>
                <w:color w:val="333333"/>
                <w:sz w:val="21"/>
                <w:szCs w:val="21"/>
                <w:lang w:eastAsia="zh-CN"/>
              </w:rPr>
            </w:pPr>
            <w:r>
              <w:rPr>
                <w:rStyle w:val="19"/>
                <w:rFonts w:hint="eastAsia" w:ascii="宋体" w:hAnsi="宋体" w:eastAsia="宋体" w:cs="宋体"/>
                <w:color w:val="333333"/>
                <w:sz w:val="21"/>
                <w:szCs w:val="21"/>
                <w:lang w:eastAsia="zh-CN"/>
              </w:rPr>
              <w:t>评审项目</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9"/>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(50分)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69566E">
            <w:pPr>
              <w:numPr>
                <w:ilvl w:val="0"/>
                <w:numId w:val="0"/>
              </w:num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服务内容及范围</w:t>
            </w:r>
            <w:r>
              <w:rPr>
                <w:rFonts w:hint="eastAsia" w:ascii="宋体" w:hAnsi="宋体" w:cs="宋体"/>
                <w:color w:val="auto"/>
                <w:sz w:val="21"/>
                <w:szCs w:val="21"/>
                <w:highlight w:val="none"/>
                <w:lang w:val="en-US" w:eastAsia="zh-CN"/>
              </w:rPr>
              <w:t>、（二）服务期限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下列的所有条款</w:t>
            </w:r>
            <w:r>
              <w:rPr>
                <w:rFonts w:hint="eastAsia" w:ascii="宋体" w:hAnsi="宋体" w:eastAsia="宋体" w:cs="宋体"/>
                <w:color w:val="auto"/>
                <w:szCs w:val="21"/>
                <w:highlight w:val="none"/>
              </w:rPr>
              <w:t>（非“★”、非“▲”号条款）</w:t>
            </w:r>
            <w:r>
              <w:rPr>
                <w:rFonts w:hint="eastAsia" w:ascii="宋体" w:hAnsi="宋体" w:cs="宋体"/>
                <w:color w:val="auto"/>
                <w:szCs w:val="21"/>
                <w:highlight w:val="none"/>
                <w:lang w:val="en-US" w:eastAsia="zh-CN"/>
              </w:rPr>
              <w:t>共5项，本项目满分9分，</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=一般条款响应程度得分（按四舍五入保留两位）。</w:t>
            </w:r>
          </w:p>
          <w:p w14:paraId="15A22D04">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rPr>
              <w:t>=一般条款响应程度得分（按四舍五入保留两位）。</w:t>
            </w:r>
          </w:p>
          <w:p w14:paraId="1FE672C7">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=一般条款响应程度得分（按四舍五入保留两位）。</w:t>
            </w:r>
          </w:p>
          <w:p w14:paraId="12F4AE5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注：本项满分为50分，以采购需求书中要求提供（如有）的证明材料和“附件2参选文件格式”要求提供相关证明文件及指引页码作为评审依据，未按要求提供不得分。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4"/>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FE37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总体实施方案</w:t>
            </w:r>
          </w:p>
          <w:p w14:paraId="0F01B8F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1539F399">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56D855D">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0A4E35B2">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4AB8966">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设备维修保养服务满意度</w:t>
            </w:r>
            <w:r>
              <w:rPr>
                <w:rFonts w:hint="eastAsia" w:ascii="宋体" w:hAnsi="宋体" w:cs="宋体"/>
                <w:color w:val="auto"/>
                <w:sz w:val="21"/>
                <w:szCs w:val="21"/>
                <w:highlight w:val="none"/>
                <w:lang w:val="en-US" w:eastAsia="zh-CN"/>
              </w:rPr>
              <w:t>评价</w:t>
            </w:r>
            <w:r>
              <w:rPr>
                <w:rFonts w:hint="eastAsia" w:ascii="宋体" w:hAnsi="宋体" w:eastAsia="宋体" w:cs="宋体"/>
                <w:color w:val="auto"/>
                <w:szCs w:val="21"/>
                <w:highlight w:val="none"/>
                <w:lang w:val="en-US" w:eastAsia="zh-CN"/>
              </w:rPr>
              <w:t>等）进行评审：</w:t>
            </w:r>
          </w:p>
          <w:p w14:paraId="1724668C">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623EB878">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6E868C5F">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3E705AB7">
            <w:pPr>
              <w:pStyle w:val="14"/>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62846504">
            <w:pPr>
              <w:pStyle w:val="14"/>
              <w:numPr>
                <w:ilvl w:val="0"/>
                <w:numId w:val="0"/>
              </w:numPr>
              <w:tabs>
                <w:tab w:val="left" w:pos="7740"/>
              </w:tabs>
              <w:spacing w:line="240" w:lineRule="auto"/>
              <w:rPr>
                <w:rFonts w:hint="default"/>
                <w:lang w:val="en-US" w:eastAsia="zh-CN"/>
              </w:rPr>
            </w:pPr>
            <w:r>
              <w:rPr>
                <w:rFonts w:hint="eastAsia" w:ascii="宋体" w:hAnsi="宋体" w:eastAsia="宋体" w:cs="宋体"/>
                <w:color w:val="auto"/>
                <w:szCs w:val="21"/>
                <w:highlight w:val="none"/>
                <w:lang w:val="en-US" w:eastAsia="zh-CN"/>
              </w:rPr>
              <w:t>5.未提供相关内容阐述的，不得分。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1B93CB3"/>
    <w:rsid w:val="020A5FE5"/>
    <w:rsid w:val="02AD51D0"/>
    <w:rsid w:val="074F28CD"/>
    <w:rsid w:val="075A0C9C"/>
    <w:rsid w:val="075D0E74"/>
    <w:rsid w:val="07742E26"/>
    <w:rsid w:val="088C3CD7"/>
    <w:rsid w:val="08B42162"/>
    <w:rsid w:val="0A552405"/>
    <w:rsid w:val="0B105E8F"/>
    <w:rsid w:val="0B425501"/>
    <w:rsid w:val="0B5A71A0"/>
    <w:rsid w:val="0DCC347C"/>
    <w:rsid w:val="0F411E6B"/>
    <w:rsid w:val="0F843B2A"/>
    <w:rsid w:val="10FD2C30"/>
    <w:rsid w:val="11F2677F"/>
    <w:rsid w:val="120A5047"/>
    <w:rsid w:val="142D08DD"/>
    <w:rsid w:val="15A47E31"/>
    <w:rsid w:val="16AF68E3"/>
    <w:rsid w:val="17AD667F"/>
    <w:rsid w:val="18F37183"/>
    <w:rsid w:val="19447D23"/>
    <w:rsid w:val="19C23FFF"/>
    <w:rsid w:val="1B52693D"/>
    <w:rsid w:val="1C1F77F3"/>
    <w:rsid w:val="1CA3450A"/>
    <w:rsid w:val="1D1A254A"/>
    <w:rsid w:val="1DAB3FD6"/>
    <w:rsid w:val="1E065EA9"/>
    <w:rsid w:val="20FF1B2F"/>
    <w:rsid w:val="21316930"/>
    <w:rsid w:val="219C3D3D"/>
    <w:rsid w:val="21E441D2"/>
    <w:rsid w:val="241A2687"/>
    <w:rsid w:val="243F400F"/>
    <w:rsid w:val="248E575A"/>
    <w:rsid w:val="253202CD"/>
    <w:rsid w:val="26FF2618"/>
    <w:rsid w:val="282652CF"/>
    <w:rsid w:val="28FA7E43"/>
    <w:rsid w:val="2A524C38"/>
    <w:rsid w:val="2CA67385"/>
    <w:rsid w:val="2E6A0991"/>
    <w:rsid w:val="318A2084"/>
    <w:rsid w:val="32301FF4"/>
    <w:rsid w:val="32862630"/>
    <w:rsid w:val="33AD6EE0"/>
    <w:rsid w:val="33C31108"/>
    <w:rsid w:val="34D81478"/>
    <w:rsid w:val="391F5360"/>
    <w:rsid w:val="3A822C5D"/>
    <w:rsid w:val="3AEB754D"/>
    <w:rsid w:val="3DD70A23"/>
    <w:rsid w:val="410F24F8"/>
    <w:rsid w:val="41B868E9"/>
    <w:rsid w:val="4667066F"/>
    <w:rsid w:val="488A14A0"/>
    <w:rsid w:val="48B14A50"/>
    <w:rsid w:val="49326564"/>
    <w:rsid w:val="4ACD0CF8"/>
    <w:rsid w:val="4AE91161"/>
    <w:rsid w:val="4B1F5D09"/>
    <w:rsid w:val="4BCE02E1"/>
    <w:rsid w:val="4F183C27"/>
    <w:rsid w:val="4FA2515B"/>
    <w:rsid w:val="51DA0BDC"/>
    <w:rsid w:val="51DE39B0"/>
    <w:rsid w:val="522F7C05"/>
    <w:rsid w:val="52D05187"/>
    <w:rsid w:val="52E15F9A"/>
    <w:rsid w:val="53BE1870"/>
    <w:rsid w:val="540C3F99"/>
    <w:rsid w:val="54850CFE"/>
    <w:rsid w:val="557E41CD"/>
    <w:rsid w:val="560857B6"/>
    <w:rsid w:val="570F19E0"/>
    <w:rsid w:val="57A26C6F"/>
    <w:rsid w:val="57A47613"/>
    <w:rsid w:val="5966506E"/>
    <w:rsid w:val="59761BA9"/>
    <w:rsid w:val="5A8B2170"/>
    <w:rsid w:val="5B8247AD"/>
    <w:rsid w:val="5DDA7107"/>
    <w:rsid w:val="5E3A6528"/>
    <w:rsid w:val="5E4647B1"/>
    <w:rsid w:val="5FA04E1F"/>
    <w:rsid w:val="5FC6594D"/>
    <w:rsid w:val="62503D99"/>
    <w:rsid w:val="631B1778"/>
    <w:rsid w:val="642705C1"/>
    <w:rsid w:val="64313601"/>
    <w:rsid w:val="647E0E01"/>
    <w:rsid w:val="65933B9B"/>
    <w:rsid w:val="674D5AB6"/>
    <w:rsid w:val="676D3727"/>
    <w:rsid w:val="67C361BD"/>
    <w:rsid w:val="67CF408D"/>
    <w:rsid w:val="69D1193E"/>
    <w:rsid w:val="6AD80A32"/>
    <w:rsid w:val="6B8E7F8D"/>
    <w:rsid w:val="6E273C4E"/>
    <w:rsid w:val="70C54A6B"/>
    <w:rsid w:val="71465789"/>
    <w:rsid w:val="71B92164"/>
    <w:rsid w:val="71E33685"/>
    <w:rsid w:val="721D6DAF"/>
    <w:rsid w:val="728C5C5D"/>
    <w:rsid w:val="73314E5B"/>
    <w:rsid w:val="74C9421C"/>
    <w:rsid w:val="760A3CB4"/>
    <w:rsid w:val="795559D4"/>
    <w:rsid w:val="7E540BF3"/>
    <w:rsid w:val="7E5F029D"/>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annotation text"/>
    <w:basedOn w:val="1"/>
    <w:qFormat/>
    <w:uiPriority w:val="0"/>
    <w:pPr>
      <w:jc w:val="left"/>
    </w:pPr>
  </w:style>
  <w:style w:type="paragraph" w:styleId="8">
    <w:name w:val="Body Text"/>
    <w:basedOn w:val="1"/>
    <w:next w:val="1"/>
    <w:qFormat/>
    <w:uiPriority w:val="0"/>
    <w:pPr>
      <w:widowControl w:val="0"/>
      <w:jc w:val="both"/>
    </w:pPr>
    <w:rPr>
      <w:kern w:val="2"/>
      <w:sz w:val="28"/>
    </w:rPr>
  </w:style>
  <w:style w:type="paragraph" w:styleId="9">
    <w:name w:val="List 2"/>
    <w:basedOn w:val="1"/>
    <w:qFormat/>
    <w:uiPriority w:val="0"/>
    <w:pPr>
      <w:ind w:left="100" w:leftChars="200" w:hanging="200" w:hangingChars="200"/>
    </w:pPr>
  </w:style>
  <w:style w:type="paragraph" w:styleId="10">
    <w:name w:val="toc 5"/>
    <w:basedOn w:val="1"/>
    <w:next w:val="1"/>
    <w:qFormat/>
    <w:uiPriority w:val="39"/>
    <w:pPr>
      <w:widowControl w:val="0"/>
      <w:ind w:left="1680"/>
      <w:jc w:val="both"/>
    </w:pPr>
    <w:rPr>
      <w:kern w:val="2"/>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index 1"/>
    <w:basedOn w:val="1"/>
    <w:next w:val="1"/>
    <w:unhideWhenUsed/>
    <w:qFormat/>
    <w:uiPriority w:val="0"/>
  </w:style>
  <w:style w:type="paragraph" w:styleId="15">
    <w:name w:val="Title"/>
    <w:basedOn w:val="9"/>
    <w:next w:val="1"/>
    <w:qFormat/>
    <w:uiPriority w:val="0"/>
    <w:pPr>
      <w:widowControl w:val="0"/>
      <w:spacing w:before="240" w:after="60"/>
      <w:jc w:val="center"/>
      <w:outlineLvl w:val="0"/>
    </w:pPr>
    <w:rPr>
      <w:rFonts w:ascii="Cambria" w:hAnsi="Cambria"/>
      <w:b/>
      <w:bCs/>
      <w:kern w:val="2"/>
      <w:sz w:val="32"/>
      <w:szCs w:val="32"/>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正文首行缩进1"/>
    <w:basedOn w:val="8"/>
    <w:qFormat/>
    <w:uiPriority w:val="2457"/>
    <w:pPr>
      <w:spacing w:before="0" w:after="120" w:line="240" w:lineRule="auto"/>
      <w:ind w:left="0" w:right="0" w:firstLine="100"/>
    </w:pPr>
    <w:rPr>
      <w:szCs w:val="24"/>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Table Paragraph"/>
    <w:basedOn w:val="1"/>
    <w:qFormat/>
    <w:uiPriority w:val="1"/>
    <w:rPr>
      <w:rFonts w:ascii="宋体" w:hAnsi="宋体" w:eastAsia="宋体" w:cs="宋体"/>
      <w:lang w:val="zh-CN" w:eastAsia="zh-CN" w:bidi="zh-CN"/>
    </w:rPr>
  </w:style>
  <w:style w:type="paragraph" w:customStyle="1" w:styleId="24">
    <w:name w:val="Table Text"/>
    <w:basedOn w:val="1"/>
    <w:semiHidden/>
    <w:qFormat/>
    <w:uiPriority w:val="0"/>
    <w:rPr>
      <w:rFonts w:ascii="仿宋" w:hAnsi="仿宋" w:eastAsia="仿宋" w:cs="仿宋"/>
      <w:sz w:val="28"/>
      <w:szCs w:val="28"/>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4970</Words>
  <Characters>5201</Characters>
  <Lines>0</Lines>
  <Paragraphs>0</Paragraphs>
  <TotalTime>0</TotalTime>
  <ScaleCrop>false</ScaleCrop>
  <LinksUpToDate>false</LinksUpToDate>
  <CharactersWithSpaces>5221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2025-08-25T09:00:00Z</cp:lastPrinted>
  <dcterms:modified xsi:type="dcterms:W3CDTF">2025-12-03T00:14:09Z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