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0457">
      <w:pPr>
        <w:pStyle w:val="3"/>
        <w:keepNext/>
        <w:keepLines/>
        <w:pageBreakBefore w:val="0"/>
        <w:widowControl w:val="0"/>
        <w:kinsoku/>
        <w:wordWrap/>
        <w:overflowPunct/>
        <w:topLinePunct w:val="0"/>
        <w:autoSpaceDE/>
        <w:autoSpaceDN/>
        <w:bidi w:val="0"/>
        <w:adjustRightInd w:val="0"/>
        <w:snapToGrid w:val="0"/>
        <w:spacing w:before="0" w:line="240" w:lineRule="auto"/>
        <w:ind w:left="1140" w:hanging="720"/>
        <w:jc w:val="left"/>
        <w:textAlignment w:val="auto"/>
        <w:rPr>
          <w:rFonts w:hint="default" w:ascii="黑体" w:hAnsi="黑体" w:eastAsia="黑体" w:cs="黑体"/>
          <w:b/>
          <w:bCs w:val="0"/>
          <w:color w:val="auto"/>
          <w:highlight w:val="none"/>
          <w:lang w:val="en-US" w:eastAsia="zh-CN"/>
        </w:rPr>
      </w:pPr>
      <w:bookmarkStart w:id="0" w:name="_Toc25048"/>
      <w:r>
        <w:rPr>
          <w:rFonts w:hint="eastAsia" w:ascii="黑体" w:hAnsi="黑体" w:eastAsia="黑体" w:cs="黑体"/>
          <w:b/>
          <w:bCs w:val="0"/>
          <w:color w:val="auto"/>
          <w:highlight w:val="none"/>
          <w:lang w:val="en-US" w:eastAsia="zh-CN"/>
        </w:rPr>
        <w:t>附件1</w:t>
      </w:r>
    </w:p>
    <w:p w14:paraId="0100BA42">
      <w:pPr>
        <w:pStyle w:val="3"/>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eastAsia" w:ascii="黑体" w:hAnsi="黑体" w:eastAsia="黑体" w:cs="黑体"/>
          <w:b/>
          <w:bCs w:val="0"/>
          <w:color w:val="auto"/>
          <w:highlight w:val="none"/>
          <w:lang w:eastAsia="zh-CN"/>
        </w:rPr>
      </w:pPr>
      <w:r>
        <w:rPr>
          <w:rFonts w:hint="eastAsia" w:ascii="黑体" w:hAnsi="黑体" w:eastAsia="黑体" w:cs="黑体"/>
          <w:b/>
          <w:bCs w:val="0"/>
          <w:color w:val="auto"/>
          <w:highlight w:val="none"/>
          <w:lang w:eastAsia="zh-CN"/>
        </w:rPr>
        <w:t>中山市板芙医院</w:t>
      </w:r>
      <w:bookmarkEnd w:id="0"/>
      <w:r>
        <w:rPr>
          <w:rFonts w:hint="eastAsia" w:ascii="黑体" w:hAnsi="黑体" w:eastAsia="黑体" w:cs="黑体"/>
          <w:b/>
          <w:bCs w:val="0"/>
          <w:color w:val="auto"/>
          <w:highlight w:val="none"/>
          <w:lang w:eastAsia="zh-CN"/>
        </w:rPr>
        <w:t>2026年电子票据管理系统运维服务</w:t>
      </w:r>
    </w:p>
    <w:p w14:paraId="4B6C7B1C">
      <w:pPr>
        <w:pStyle w:val="3"/>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default"/>
          <w:highlight w:val="none"/>
          <w:lang w:val="en-US" w:eastAsia="zh-CN"/>
        </w:rPr>
      </w:pPr>
      <w:r>
        <w:rPr>
          <w:rFonts w:hint="eastAsia" w:ascii="黑体" w:hAnsi="黑体" w:eastAsia="黑体" w:cs="黑体"/>
          <w:b/>
          <w:bCs w:val="0"/>
          <w:color w:val="auto"/>
          <w:highlight w:val="none"/>
          <w:lang w:eastAsia="zh-CN"/>
        </w:rPr>
        <w:t>采购项目公开比选</w:t>
      </w:r>
      <w:r>
        <w:rPr>
          <w:rFonts w:hint="eastAsia" w:ascii="黑体" w:hAnsi="黑体" w:eastAsia="黑体" w:cs="黑体"/>
          <w:b/>
          <w:bCs w:val="0"/>
          <w:color w:val="auto"/>
          <w:highlight w:val="none"/>
          <w:lang w:val="en-US" w:eastAsia="zh-CN"/>
        </w:rPr>
        <w:t>文件</w:t>
      </w:r>
    </w:p>
    <w:p w14:paraId="600DE201">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中山市板芙医院现对中山市板芙医院</w:t>
      </w:r>
      <w:r>
        <w:rPr>
          <w:rFonts w:hint="eastAsia" w:ascii="宋体" w:hAnsi="宋体" w:cs="宋体"/>
          <w:bCs/>
          <w:color w:val="auto"/>
          <w:sz w:val="21"/>
          <w:szCs w:val="21"/>
          <w:highlight w:val="none"/>
          <w:lang w:val="en-US" w:eastAsia="zh-CN"/>
        </w:rPr>
        <w:t>2026年电子票据管理系统运维服务采购项目</w:t>
      </w:r>
      <w:r>
        <w:rPr>
          <w:rFonts w:hint="eastAsia" w:ascii="宋体" w:hAnsi="宋体" w:eastAsia="宋体" w:cs="宋体"/>
          <w:bCs/>
          <w:color w:val="auto"/>
          <w:sz w:val="21"/>
          <w:szCs w:val="21"/>
          <w:highlight w:val="none"/>
        </w:rPr>
        <w:t>采用</w:t>
      </w:r>
      <w:r>
        <w:rPr>
          <w:rFonts w:hint="eastAsia" w:ascii="宋体" w:hAnsi="宋体" w:eastAsia="宋体" w:cs="宋体"/>
          <w:bCs/>
          <w:color w:val="auto"/>
          <w:sz w:val="21"/>
          <w:szCs w:val="21"/>
          <w:highlight w:val="none"/>
          <w:lang w:eastAsia="zh-CN"/>
        </w:rPr>
        <w:t>公开比选</w:t>
      </w:r>
      <w:r>
        <w:rPr>
          <w:rFonts w:hint="eastAsia" w:ascii="宋体" w:hAnsi="宋体" w:eastAsia="宋体" w:cs="宋体"/>
          <w:bCs/>
          <w:color w:val="auto"/>
          <w:sz w:val="21"/>
          <w:szCs w:val="21"/>
          <w:highlight w:val="none"/>
        </w:rPr>
        <w:t>方式组织采购，欢迎符合资格条件的供应商参加。有关事项如下：</w:t>
      </w:r>
    </w:p>
    <w:p w14:paraId="25A4399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28"/>
          <w:sz w:val="21"/>
          <w:szCs w:val="21"/>
          <w:highlight w:val="none"/>
          <w:lang w:eastAsia="zh-CN"/>
        </w:rPr>
        <w:t>中山市板芙医院</w:t>
      </w:r>
      <w:r>
        <w:rPr>
          <w:rFonts w:hint="eastAsia" w:ascii="宋体" w:hAnsi="宋体" w:cs="宋体"/>
          <w:bCs/>
          <w:color w:val="auto"/>
          <w:sz w:val="21"/>
          <w:szCs w:val="21"/>
          <w:highlight w:val="none"/>
          <w:lang w:val="en-US" w:eastAsia="zh-CN"/>
        </w:rPr>
        <w:t>2026年电子票据管理系统运维服务采购项目</w:t>
      </w:r>
    </w:p>
    <w:p w14:paraId="5377B5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kern w:val="28"/>
          <w:sz w:val="21"/>
          <w:szCs w:val="21"/>
          <w:highlight w:val="none"/>
          <w:lang w:eastAsia="zh-CN"/>
        </w:rPr>
      </w:pPr>
      <w:r>
        <w:rPr>
          <w:rFonts w:hint="eastAsia" w:ascii="宋体" w:hAnsi="宋体" w:eastAsia="宋体" w:cs="宋体"/>
          <w:b/>
          <w:bCs/>
          <w:color w:val="auto"/>
          <w:sz w:val="21"/>
          <w:szCs w:val="21"/>
          <w:highlight w:val="none"/>
          <w:lang w:eastAsia="zh-CN"/>
        </w:rPr>
        <w:t>二、</w:t>
      </w:r>
      <w:r>
        <w:rPr>
          <w:rFonts w:hint="eastAsia" w:ascii="宋体" w:hAnsi="宋体" w:cs="宋体"/>
          <w:b/>
          <w:bCs/>
          <w:color w:val="auto"/>
          <w:sz w:val="21"/>
          <w:szCs w:val="21"/>
          <w:highlight w:val="none"/>
          <w:lang w:val="en-US" w:eastAsia="zh-CN"/>
        </w:rPr>
        <w:t>最高限价</w:t>
      </w:r>
      <w:r>
        <w:rPr>
          <w:rFonts w:hint="eastAsia" w:ascii="宋体" w:hAnsi="宋体" w:eastAsia="宋体" w:cs="宋体"/>
          <w:b/>
          <w:bCs/>
          <w:color w:val="auto"/>
          <w:sz w:val="21"/>
          <w:szCs w:val="21"/>
          <w:highlight w:val="none"/>
        </w:rPr>
        <w:t>：</w:t>
      </w:r>
      <w:r>
        <w:rPr>
          <w:rFonts w:hint="eastAsia" w:ascii="宋体" w:hAnsi="宋体" w:cs="宋体"/>
          <w:color w:val="000000" w:themeColor="text1"/>
          <w:sz w:val="21"/>
          <w:szCs w:val="21"/>
          <w:highlight w:val="none"/>
          <w:lang w:val="en-US" w:eastAsia="zh-CN"/>
          <w14:textFill>
            <w14:solidFill>
              <w14:schemeClr w14:val="tx1"/>
            </w14:solidFill>
          </w14:textFill>
        </w:rPr>
        <w:t>28,000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auto"/>
          <w:kern w:val="28"/>
          <w:sz w:val="21"/>
          <w:szCs w:val="21"/>
          <w:highlight w:val="none"/>
          <w:lang w:val="en-US" w:eastAsia="zh-CN"/>
        </w:rPr>
        <w:t>元</w:t>
      </w:r>
    </w:p>
    <w:p w14:paraId="33A7D937">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三、</w:t>
      </w:r>
      <w:r>
        <w:rPr>
          <w:rFonts w:hint="eastAsia" w:ascii="宋体" w:hAnsi="宋体" w:cs="宋体"/>
          <w:b/>
          <w:bCs/>
          <w:color w:val="auto"/>
          <w:sz w:val="21"/>
          <w:szCs w:val="21"/>
          <w:highlight w:val="none"/>
          <w:lang w:val="en-US" w:eastAsia="zh-CN"/>
        </w:rPr>
        <w:t>项目内容</w:t>
      </w:r>
    </w:p>
    <w:tbl>
      <w:tblPr>
        <w:tblStyle w:val="15"/>
        <w:tblW w:w="3517" w:type="pct"/>
        <w:tblInd w:w="100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433"/>
        <w:gridCol w:w="1052"/>
        <w:gridCol w:w="1202"/>
        <w:gridCol w:w="1260"/>
      </w:tblGrid>
      <w:tr w14:paraId="6894D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6" w:hRule="atLeast"/>
        </w:trPr>
        <w:tc>
          <w:tcPr>
            <w:tcW w:w="2470" w:type="pct"/>
            <w:noWrap w:val="0"/>
            <w:vAlign w:val="center"/>
          </w:tcPr>
          <w:p w14:paraId="1BDB57F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采购标的</w:t>
            </w:r>
          </w:p>
        </w:tc>
        <w:tc>
          <w:tcPr>
            <w:tcW w:w="757" w:type="pct"/>
            <w:noWrap w:val="0"/>
            <w:vAlign w:val="center"/>
          </w:tcPr>
          <w:p w14:paraId="6250D57E">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w:t>
            </w:r>
            <w:r>
              <w:rPr>
                <w:rFonts w:hint="eastAsia" w:ascii="宋体" w:hAnsi="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（单位）</w:t>
            </w:r>
          </w:p>
        </w:tc>
        <w:tc>
          <w:tcPr>
            <w:tcW w:w="865" w:type="pct"/>
            <w:noWrap w:val="0"/>
            <w:vAlign w:val="center"/>
          </w:tcPr>
          <w:p w14:paraId="612EF251">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项目</w:t>
            </w:r>
            <w:r>
              <w:rPr>
                <w:rFonts w:hint="eastAsia" w:ascii="宋体" w:hAnsi="宋体" w:eastAsia="宋体" w:cs="宋体"/>
                <w:i w:val="0"/>
                <w:iCs w:val="0"/>
                <w:color w:val="auto"/>
                <w:kern w:val="0"/>
                <w:sz w:val="21"/>
                <w:szCs w:val="21"/>
                <w:highlight w:val="none"/>
                <w:u w:val="none"/>
                <w:lang w:val="en-US" w:eastAsia="zh-CN" w:bidi="ar"/>
              </w:rPr>
              <w:t>单价（元）</w:t>
            </w:r>
          </w:p>
        </w:tc>
        <w:tc>
          <w:tcPr>
            <w:tcW w:w="906" w:type="pct"/>
            <w:noWrap w:val="0"/>
            <w:vAlign w:val="center"/>
          </w:tcPr>
          <w:p w14:paraId="562DD1BC">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项目</w:t>
            </w:r>
            <w:r>
              <w:rPr>
                <w:rFonts w:hint="eastAsia" w:ascii="宋体" w:hAnsi="宋体" w:eastAsia="宋体" w:cs="宋体"/>
                <w:i w:val="0"/>
                <w:iCs w:val="0"/>
                <w:color w:val="auto"/>
                <w:kern w:val="0"/>
                <w:sz w:val="21"/>
                <w:szCs w:val="21"/>
                <w:highlight w:val="none"/>
                <w:u w:val="none"/>
                <w:lang w:val="en-US" w:eastAsia="zh-CN" w:bidi="ar"/>
              </w:rPr>
              <w:t>总价（元）</w:t>
            </w:r>
          </w:p>
        </w:tc>
      </w:tr>
      <w:tr w14:paraId="6B709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trPr>
        <w:tc>
          <w:tcPr>
            <w:tcW w:w="2470" w:type="pct"/>
            <w:noWrap w:val="0"/>
            <w:vAlign w:val="center"/>
          </w:tcPr>
          <w:p w14:paraId="08A46BC7">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2026年电子票据管理系统运维服务</w:t>
            </w:r>
          </w:p>
        </w:tc>
        <w:tc>
          <w:tcPr>
            <w:tcW w:w="757" w:type="pct"/>
            <w:noWrap w:val="0"/>
            <w:vAlign w:val="center"/>
          </w:tcPr>
          <w:p w14:paraId="6430EE5F">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1项</w:t>
            </w:r>
          </w:p>
        </w:tc>
        <w:tc>
          <w:tcPr>
            <w:tcW w:w="865" w:type="pct"/>
            <w:noWrap w:val="0"/>
            <w:vAlign w:val="center"/>
          </w:tcPr>
          <w:p w14:paraId="3D268AB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28,000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906" w:type="pct"/>
            <w:noWrap w:val="0"/>
            <w:vAlign w:val="center"/>
          </w:tcPr>
          <w:p w14:paraId="1CD72E98">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28,000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r>
    </w:tbl>
    <w:p w14:paraId="6359E862">
      <w:pPr>
        <w:keepNext w:val="0"/>
        <w:keepLines w:val="0"/>
        <w:pageBreakBefore w:val="0"/>
        <w:numPr>
          <w:ilvl w:val="0"/>
          <w:numId w:val="0"/>
        </w:numPr>
        <w:kinsoku/>
        <w:wordWrap/>
        <w:overflowPunct/>
        <w:topLinePunct w:val="0"/>
        <w:bidi w:val="0"/>
        <w:spacing w:line="360" w:lineRule="exact"/>
        <w:ind w:firstLine="422" w:firstLineChars="200"/>
        <w:jc w:val="both"/>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四、采购需求书</w:t>
      </w:r>
    </w:p>
    <w:p w14:paraId="73A5FC4E">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）服务内容及范围</w:t>
      </w:r>
    </w:p>
    <w:p w14:paraId="644AB0CB">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服务期内提供基本维护服务，包括定期巡检、故障处理、远程维护及用户咨询服务，协助客户处理系统相关事务，解决系统故障，保证系统运行正常。</w:t>
      </w:r>
    </w:p>
    <w:p w14:paraId="2EF9B0FB">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二）服务期限</w:t>
      </w:r>
    </w:p>
    <w:p w14:paraId="5384A338">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2026年1月1日至2026年12月31日（具体自签订合同之日起至2026年12月31日</w:t>
      </w:r>
      <w:r>
        <w:rPr>
          <w:rFonts w:hint="eastAsia" w:ascii="宋体" w:hAnsi="宋体" w:cs="宋体"/>
          <w:color w:val="auto"/>
          <w:sz w:val="21"/>
          <w:szCs w:val="21"/>
          <w:highlight w:val="none"/>
          <w:lang w:val="en-US" w:eastAsia="zh-CN"/>
        </w:rPr>
        <w:t>止</w:t>
      </w:r>
      <w:r>
        <w:rPr>
          <w:rFonts w:hint="eastAsia" w:ascii="宋体" w:hAnsi="宋体" w:eastAsia="宋体" w:cs="宋体"/>
          <w:color w:val="auto"/>
          <w:sz w:val="21"/>
          <w:szCs w:val="21"/>
          <w:highlight w:val="none"/>
          <w:lang w:val="en-US" w:eastAsia="zh-CN"/>
        </w:rPr>
        <w:t>）。</w:t>
      </w:r>
    </w:p>
    <w:p w14:paraId="10015DD7">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（三）技术要求</w:t>
      </w:r>
    </w:p>
    <w:p w14:paraId="14509C10">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1.系统运行环境检查。每季度对系统运行环境检查，及时提出调优和故障预防建议，具体服务内容如下：</w:t>
      </w:r>
    </w:p>
    <w:p w14:paraId="712B16B5">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1.1检查系统是否能够正常登陆和显示。</w:t>
      </w:r>
    </w:p>
    <w:p w14:paraId="2EB9DE66">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1.2检查系统页面各功能操作是否顺畅。</w:t>
      </w:r>
    </w:p>
    <w:p w14:paraId="02893419">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1.3检查系统后台是否正常。</w:t>
      </w:r>
    </w:p>
    <w:p w14:paraId="5BB18D05">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1.4检查系统接口是否正常。</w:t>
      </w:r>
    </w:p>
    <w:p w14:paraId="7E23FFC9">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1.5检查数据库电子票据系统用户表空间是否足够（使用率均少于90%）。</w:t>
      </w:r>
    </w:p>
    <w:p w14:paraId="7B8D78C5">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1.6检查数据库系统表空间是否足够（使用率均少于90%）。</w:t>
      </w:r>
    </w:p>
    <w:p w14:paraId="01BBC855">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1.7检查数据空间是否足够。</w:t>
      </w:r>
    </w:p>
    <w:p w14:paraId="293F64FA">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1.8检查服务器硬盘空间是否足够（使用率要少于90%）。</w:t>
      </w:r>
    </w:p>
    <w:p w14:paraId="6F8EAE70">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1.9检查系统日志是否正常。</w:t>
      </w:r>
    </w:p>
    <w:p w14:paraId="468744D2">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1.10根据巡检结果，提出改进建议。</w:t>
      </w:r>
    </w:p>
    <w:p w14:paraId="20E52BCE">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2.系统业务功能检查。保证单位业务能正常开展，每季度需要对系统业务功能进行全面检查，具体服务内容如下：</w:t>
      </w:r>
    </w:p>
    <w:p w14:paraId="26DBC080">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2.1检查系统基础信息管理功能是否正常。</w:t>
      </w:r>
    </w:p>
    <w:p w14:paraId="3C7D083C">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2.2检查系统医疗票据管理功能是否正常。</w:t>
      </w:r>
    </w:p>
    <w:p w14:paraId="5BF650E9">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2.3检查系统医疗票据开具功能是否正常。</w:t>
      </w:r>
    </w:p>
    <w:p w14:paraId="1B9EE378">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2.4检查系统医疗票据存档功能是否正常。</w:t>
      </w:r>
    </w:p>
    <w:p w14:paraId="7B51D3B6">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2.5检查系统医疗票据交付功能是否正常。</w:t>
      </w:r>
    </w:p>
    <w:p w14:paraId="2A04B288">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2.6检查系统综合报表查询功能是否正常。</w:t>
      </w:r>
    </w:p>
    <w:p w14:paraId="2E73DA99">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2.7检查系统管理功能是否正常。</w:t>
      </w:r>
    </w:p>
    <w:p w14:paraId="54ED6013">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解答用户疑问</w:t>
      </w:r>
    </w:p>
    <w:p w14:paraId="4B906E82">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提供7×24小时的技术服务支持保障，确保系统的正常稳定运行。系统在出现故障时，在接到通知后，工作日0</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:00-1</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:00期间1小时内响应，如不能电话或远程解决问题的，工程师在24小时内到达现场处理。</w:t>
      </w:r>
    </w:p>
    <w:p w14:paraId="7EEC4930">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3.2对用户使用系统过程中遇到的问题，通过电话、网络、传真等各种方式及时解决。主要包括热线电话和网络服务两种方式。</w:t>
      </w:r>
    </w:p>
    <w:p w14:paraId="03E3B9D4">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3.2.1热线电话方式。具体服务内容如下：</w:t>
      </w:r>
    </w:p>
    <w:p w14:paraId="59F59D6E">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3.2.1.1开通服务热线，所有系统用户在系统使用过程中遇到任何问题，都可以通过热线电话得到支持和帮助。</w:t>
      </w:r>
    </w:p>
    <w:p w14:paraId="3282A95D">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3.2.1.2处理并答复常见的、可即时响应的问题。</w:t>
      </w:r>
    </w:p>
    <w:p w14:paraId="5E6B4DD5">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3.2.1.3对于一时无法答复的，但影响用户业务需要紧急解决的问题，立即组织技术小组商讨解决方案，24小时内答复客户。</w:t>
      </w:r>
    </w:p>
    <w:p w14:paraId="4BA45406">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3.2.1.4对于一时无法答复的，但不影响用户业务的问题，立即组织技术小组商讨解决方案，48小时内答复客户。</w:t>
      </w:r>
    </w:p>
    <w:p w14:paraId="49E9A400">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3.2.1.5整理典型的问题及其解答，形成用户反馈问题电话记录文档，建立热线电话服务知识树，提交常见问题解答列表。</w:t>
      </w:r>
    </w:p>
    <w:p w14:paraId="3DBBBD07">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3.2.2网络服务方式。具体服务内容如下：</w:t>
      </w:r>
    </w:p>
    <w:p w14:paraId="70FA143B">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3.2.2.1开通电子邮件服务，所有系统用户在系统使用过程中遇到任何问题，都可以通过电子邮件得到网上支持和帮助。</w:t>
      </w:r>
    </w:p>
    <w:p w14:paraId="6EB25C52">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3.2.2.2开通传真服务，所有系统用户在系统使用过程中遇到任何问题，都可以通过传真函件得到支持和帮助。</w:t>
      </w:r>
    </w:p>
    <w:p w14:paraId="09E5FCBC">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运维开发团队后端支持。对于巡检人员在维护过程遇到不能解决的问题，巡检人员将通过电话、网络等各种实时通信方式，及时与运维开发团队进行沟通解决。具体服务内容如下：</w:t>
      </w:r>
    </w:p>
    <w:p w14:paraId="0F5299BA">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4.1巡检人员遇到一些特殊的状况，未能自行解决，及时通过远程进行沟通解决。</w:t>
      </w:r>
    </w:p>
    <w:p w14:paraId="54AB7894">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4.2对于系统出现问题，进行代码修复。</w:t>
      </w:r>
    </w:p>
    <w:p w14:paraId="22BBD33A">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4.3对于软件运行中出现缓慢的情况，提供性能优化服务，如软件方面无法再优化，则提出相关的优化建议方案。</w:t>
      </w:r>
    </w:p>
    <w:p w14:paraId="6BB63D3A">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5.业务单位回访及答疑。主动回访，定期对采购方使用系统情况进行总结，提交服务总结报告。具体服务内容如下：</w:t>
      </w:r>
    </w:p>
    <w:p w14:paraId="059543A0">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5.1主动回访客户和用户，询问对软件产品的建议和上线后系统操作的感受。</w:t>
      </w:r>
    </w:p>
    <w:p w14:paraId="154E4EC8">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5.2根据回访结果，对于系统使用建议、其他业务需求、项目需求等问题，进行总结并形成《服务总结报告》，反馈至公司总部，并制定改进措施。</w:t>
      </w:r>
    </w:p>
    <w:p w14:paraId="57D6B1D0">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（四）商务要求</w:t>
      </w:r>
    </w:p>
    <w:p w14:paraId="7BF47848">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1.付款方式：自合同签订之日后，按月支付。</w:t>
      </w:r>
    </w:p>
    <w:p w14:paraId="55187A6B">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2.按照医院需求提供线上及线下服务。</w:t>
      </w:r>
    </w:p>
    <w:p w14:paraId="3B21ACBC">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3.每年至少巡检2次，并出具巡检报告给采购人，巡检方式不限于线上及线下。</w:t>
      </w:r>
    </w:p>
    <w:p w14:paraId="69890E84">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4.供应商应提供7×24小时的技术服务支持保障，确保系统的正常稳定运行。系统在出现故障时，在接到通知后，工作日09:00-18:00期间1小时内响应，如不能电话或远程解决问题的，工程师在24小时内到达现场处理。</w:t>
      </w:r>
    </w:p>
    <w:p w14:paraId="1447BB7B">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5.保密要求：双方合作中涉及的所有业务、技术资料，均有责任对第三方保密。如其中一方擅自将涉及另一方的商业和技术秘密的资料透漏给第三方，则另一方将保留追究对方法律责任的权利。</w:t>
      </w:r>
    </w:p>
    <w:p w14:paraId="4F776EED">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6.培训要求：供应商负责对采购人工作人员定期进行技术操作等培训，须保证培训后的工作人员能熟练并独立操作。</w:t>
      </w:r>
    </w:p>
    <w:p w14:paraId="64FD90F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合格供应商资格要求</w:t>
      </w:r>
    </w:p>
    <w:p w14:paraId="459C03F3">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（一）供应商应具备《中华人民共和国政府采购法》第二十二条规定的条件（提供资格声明函）。</w:t>
      </w:r>
    </w:p>
    <w:p w14:paraId="3621F1DE">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（二）供应商须具备相关经营范围且有效的营业执照（提供证明材料复印件加盖供应商公章）。</w:t>
      </w:r>
    </w:p>
    <w:p w14:paraId="575A9A99">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供应商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提供资格声明函）。</w:t>
      </w:r>
    </w:p>
    <w:p w14:paraId="6687C81C">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（四）本项目不接受联合体投标，且不允许转包或分包（提供资格声明函）。</w:t>
      </w:r>
    </w:p>
    <w:p w14:paraId="101C0F6C">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（五）单位负责人为同一人或者存在直接控股、管理关系的不同供应商，不得参加同一合同项下的政府采购活动（提供资格声明函）。</w:t>
      </w:r>
    </w:p>
    <w:p w14:paraId="4DD7A746">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b/>
          <w:color w:val="auto"/>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（六）为本项目提供整体设计、规范编制或者项目管理、监理、检测等服务的供应商，不得再参与本项目投标（提供资格声明函）。</w:t>
      </w:r>
    </w:p>
    <w:p w14:paraId="6EB06763">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响应文件递交</w:t>
      </w:r>
      <w:r>
        <w:rPr>
          <w:rFonts w:hint="eastAsia" w:ascii="宋体" w:hAnsi="宋体" w:eastAsia="宋体" w:cs="宋体"/>
          <w:b/>
          <w:color w:val="auto"/>
          <w:sz w:val="21"/>
          <w:szCs w:val="21"/>
          <w:highlight w:val="none"/>
        </w:rPr>
        <w:t>截止时间及地点</w:t>
      </w:r>
    </w:p>
    <w:p w14:paraId="26944A5A">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响应文件递交截止时间：</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11</w:t>
      </w:r>
      <w:bookmarkStart w:id="1" w:name="_GoBack"/>
      <w:bookmarkEnd w:id="1"/>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w:t>
      </w:r>
    </w:p>
    <w:p w14:paraId="701FDE07">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sz w:val="21"/>
          <w:szCs w:val="21"/>
          <w:highlight w:val="none"/>
          <w:lang w:val="en-US" w:eastAsia="zh-CN"/>
        </w:rPr>
        <w:t>资料递交或邮寄地点：</w:t>
      </w:r>
      <w:r>
        <w:rPr>
          <w:rFonts w:hint="eastAsia" w:ascii="宋体" w:hAnsi="宋体" w:eastAsia="宋体" w:cs="宋体"/>
          <w:color w:val="auto"/>
          <w:sz w:val="21"/>
          <w:szCs w:val="21"/>
          <w:highlight w:val="none"/>
          <w:lang w:val="en-US" w:eastAsia="zh-CN"/>
        </w:rPr>
        <w:t>中山市板芙镇芙中路1号板芙医院综合楼</w:t>
      </w:r>
      <w:r>
        <w:rPr>
          <w:rFonts w:hint="eastAsia" w:ascii="宋体" w:hAnsi="宋体" w:cs="宋体"/>
          <w:color w:val="auto"/>
          <w:sz w:val="21"/>
          <w:szCs w:val="21"/>
          <w:highlight w:val="none"/>
          <w:lang w:val="en-US" w:eastAsia="zh-CN"/>
        </w:rPr>
        <w:t>（放射科旁电梯上）八</w:t>
      </w:r>
      <w:r>
        <w:rPr>
          <w:rFonts w:hint="eastAsia" w:ascii="宋体" w:hAnsi="宋体" w:eastAsia="宋体" w:cs="宋体"/>
          <w:color w:val="auto"/>
          <w:sz w:val="21"/>
          <w:szCs w:val="21"/>
          <w:highlight w:val="none"/>
          <w:lang w:val="en-US" w:eastAsia="zh-CN"/>
        </w:rPr>
        <w:t>楼</w:t>
      </w:r>
      <w:r>
        <w:rPr>
          <w:rFonts w:hint="eastAsia" w:ascii="宋体" w:hAnsi="宋体" w:cs="宋体"/>
          <w:color w:val="auto"/>
          <w:sz w:val="21"/>
          <w:szCs w:val="21"/>
          <w:highlight w:val="none"/>
          <w:lang w:val="en-US" w:eastAsia="zh-CN"/>
        </w:rPr>
        <w:t>行政办公区门口</w:t>
      </w:r>
      <w:r>
        <w:rPr>
          <w:rFonts w:hint="eastAsia" w:ascii="宋体" w:hAnsi="宋体" w:cs="宋体"/>
          <w:b w:val="0"/>
          <w:bCs w:val="0"/>
          <w:color w:val="auto"/>
          <w:sz w:val="21"/>
          <w:szCs w:val="21"/>
          <w:highlight w:val="none"/>
          <w:lang w:val="en-US" w:eastAsia="zh-CN"/>
        </w:rPr>
        <w:t>处</w:t>
      </w:r>
      <w:r>
        <w:rPr>
          <w:rFonts w:hint="eastAsia" w:ascii="宋体" w:hAnsi="宋体" w:cs="宋体"/>
          <w:b/>
          <w:bCs/>
          <w:color w:val="auto"/>
          <w:sz w:val="21"/>
          <w:szCs w:val="21"/>
          <w:highlight w:val="none"/>
          <w:lang w:val="en-US" w:eastAsia="zh-CN"/>
        </w:rPr>
        <w:t>“招采资料专用投递箱”</w:t>
      </w:r>
      <w:r>
        <w:rPr>
          <w:rFonts w:hint="eastAsia" w:ascii="宋体" w:hAnsi="宋体" w:cs="宋体"/>
          <w:color w:val="auto"/>
          <w:sz w:val="21"/>
          <w:szCs w:val="21"/>
          <w:highlight w:val="none"/>
          <w:lang w:val="en-US" w:eastAsia="zh-CN"/>
        </w:rPr>
        <w:t>，联系人：招采办杨小姐，联系电话：0760-28218662</w:t>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 xml:space="preserve"> </w:t>
      </w:r>
    </w:p>
    <w:p w14:paraId="707DA607">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七、公告期限</w:t>
      </w:r>
    </w:p>
    <w:p w14:paraId="587CB7F4">
      <w:pPr>
        <w:keepNext w:val="0"/>
        <w:keepLines w:val="0"/>
        <w:pageBreakBefore w:val="0"/>
        <w:numPr>
          <w:ilvl w:val="0"/>
          <w:numId w:val="0"/>
        </w:numPr>
        <w:kinsoku/>
        <w:wordWrap/>
        <w:overflowPunct/>
        <w:topLinePunct w:val="0"/>
        <w:bidi w:val="0"/>
        <w:spacing w:line="360" w:lineRule="exact"/>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自本公告发布之日起3个工作日。</w:t>
      </w:r>
    </w:p>
    <w:p w14:paraId="2C77D747">
      <w:pPr>
        <w:keepNext w:val="0"/>
        <w:keepLines w:val="0"/>
        <w:pageBreakBefore w:val="0"/>
        <w:widowControl w:val="0"/>
        <w:numPr>
          <w:ilvl w:val="0"/>
          <w:numId w:val="0"/>
        </w:numPr>
        <w:tabs>
          <w:tab w:val="left" w:pos="420"/>
        </w:tabs>
        <w:kinsoku/>
        <w:overflowPunct/>
        <w:topLinePunct w:val="0"/>
        <w:bidi w:val="0"/>
        <w:spacing w:line="360" w:lineRule="exact"/>
        <w:ind w:left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响应文件</w:t>
      </w:r>
      <w:r>
        <w:rPr>
          <w:rFonts w:hint="eastAsia" w:ascii="宋体" w:hAnsi="宋体" w:cs="宋体"/>
          <w:b/>
          <w:bCs/>
          <w:color w:val="auto"/>
          <w:sz w:val="21"/>
          <w:szCs w:val="21"/>
          <w:highlight w:val="none"/>
          <w:lang w:val="en-US" w:eastAsia="zh-CN"/>
        </w:rPr>
        <w:t>内容要求</w:t>
      </w:r>
    </w:p>
    <w:p w14:paraId="32CB5A8C">
      <w:pPr>
        <w:keepNext w:val="0"/>
        <w:keepLines w:val="0"/>
        <w:pageBreakBefore w:val="0"/>
        <w:widowControl w:val="0"/>
        <w:tabs>
          <w:tab w:val="left" w:pos="420"/>
        </w:tabs>
        <w:kinsoku/>
        <w:overflowPunct/>
        <w:topLinePunct w:val="0"/>
        <w:bidi w:val="0"/>
        <w:spacing w:line="360" w:lineRule="exact"/>
        <w:ind w:left="0" w:leftChars="0" w:firstLine="420" w:firstLineChars="200"/>
        <w:jc w:val="both"/>
        <w:rPr>
          <w:rFonts w:hint="eastAsia" w:ascii="宋体" w:hAnsi="宋体" w:eastAsia="宋体" w:cs="宋体"/>
          <w:b/>
          <w:bCs/>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响应文件内容</w:t>
      </w:r>
      <w:r>
        <w:rPr>
          <w:rFonts w:hint="eastAsia" w:ascii="宋体" w:hAnsi="宋体" w:cs="宋体"/>
          <w:b w:val="0"/>
          <w:bCs w:val="0"/>
          <w:color w:val="auto"/>
          <w:sz w:val="21"/>
          <w:szCs w:val="21"/>
          <w:highlight w:val="none"/>
          <w:lang w:val="en-US" w:eastAsia="zh-CN"/>
        </w:rPr>
        <w:t>格式</w:t>
      </w:r>
      <w:r>
        <w:rPr>
          <w:rFonts w:hint="eastAsia" w:ascii="宋体" w:hAnsi="宋体" w:eastAsia="宋体" w:cs="宋体"/>
          <w:b w:val="0"/>
          <w:bCs w:val="0"/>
          <w:color w:val="auto"/>
          <w:sz w:val="21"/>
          <w:szCs w:val="21"/>
          <w:highlight w:val="none"/>
          <w:lang w:eastAsia="zh-CN"/>
        </w:rPr>
        <w:t>要求</w:t>
      </w:r>
    </w:p>
    <w:p w14:paraId="07878790">
      <w:pPr>
        <w:keepNext w:val="0"/>
        <w:keepLines w:val="0"/>
        <w:pageBreakBefore w:val="0"/>
        <w:numPr>
          <w:ilvl w:val="0"/>
          <w:numId w:val="0"/>
        </w:numPr>
        <w:kinsoku/>
        <w:wordWrap/>
        <w:overflowPunct/>
        <w:topLinePunct w:val="0"/>
        <w:bidi w:val="0"/>
        <w:spacing w:line="360" w:lineRule="exact"/>
        <w:ind w:firstLine="422" w:firstLineChars="200"/>
        <w:jc w:val="both"/>
        <w:rPr>
          <w:rFonts w:hint="default"/>
          <w:lang w:val="en-US"/>
        </w:rPr>
      </w:pPr>
      <w:r>
        <w:rPr>
          <w:rFonts w:hint="eastAsia" w:ascii="宋体" w:hAnsi="宋体" w:cs="宋体"/>
          <w:b/>
          <w:bCs/>
          <w:color w:val="auto"/>
          <w:sz w:val="21"/>
          <w:szCs w:val="21"/>
          <w:highlight w:val="none"/>
          <w:lang w:val="en-US" w:eastAsia="zh-CN"/>
        </w:rPr>
        <w:t>须按“附件2参选文件格式”要求提供。</w:t>
      </w:r>
    </w:p>
    <w:p w14:paraId="75A80B3C">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供应商提交的全部材料都必须</w:t>
      </w:r>
      <w:r>
        <w:rPr>
          <w:rFonts w:hint="eastAsia" w:ascii="宋体" w:hAnsi="宋体" w:eastAsia="宋体" w:cs="宋体"/>
          <w:b/>
          <w:bCs/>
          <w:color w:val="auto"/>
          <w:sz w:val="21"/>
          <w:szCs w:val="21"/>
          <w:highlight w:val="none"/>
        </w:rPr>
        <w:t>密封</w:t>
      </w:r>
      <w:r>
        <w:rPr>
          <w:rFonts w:hint="eastAsia" w:ascii="宋体" w:hAnsi="宋体" w:eastAsia="宋体" w:cs="宋体"/>
          <w:color w:val="auto"/>
          <w:sz w:val="21"/>
          <w:szCs w:val="21"/>
          <w:highlight w:val="none"/>
        </w:rPr>
        <w:t>，具体包括：</w:t>
      </w:r>
    </w:p>
    <w:p w14:paraId="15F66BCF">
      <w:pPr>
        <w:keepNext w:val="0"/>
        <w:keepLines w:val="0"/>
        <w:pageBreakBefore w:val="0"/>
        <w:widowControl w:val="0"/>
        <w:kinsoku/>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1.纸质</w:t>
      </w:r>
      <w:r>
        <w:rPr>
          <w:rFonts w:hint="eastAsia" w:ascii="宋体" w:hAnsi="宋体" w:eastAsia="宋体" w:cs="宋体"/>
          <w:color w:val="auto"/>
          <w:sz w:val="21"/>
          <w:szCs w:val="21"/>
          <w:highlight w:val="none"/>
        </w:rPr>
        <w:t>响应文件一式</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（正本1份</w:t>
      </w:r>
      <w:r>
        <w:rPr>
          <w:rFonts w:hint="eastAsia" w:ascii="宋体" w:hAnsi="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副本</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份</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正本及所有副本的封面均须</w:t>
      </w:r>
      <w:r>
        <w:rPr>
          <w:rFonts w:hint="eastAsia" w:ascii="宋体" w:hAnsi="宋体" w:eastAsia="宋体" w:cs="宋体"/>
          <w:b/>
          <w:bCs/>
          <w:color w:val="auto"/>
          <w:sz w:val="21"/>
          <w:szCs w:val="21"/>
          <w:highlight w:val="none"/>
        </w:rPr>
        <w:t>由供应商加盖供应商公章</w:t>
      </w:r>
      <w:r>
        <w:rPr>
          <w:rFonts w:hint="eastAsia" w:ascii="宋体" w:hAnsi="宋体" w:cs="宋体"/>
          <w:b/>
          <w:bCs/>
          <w:color w:val="auto"/>
          <w:sz w:val="21"/>
          <w:szCs w:val="21"/>
          <w:highlight w:val="none"/>
          <w:lang w:val="en-US" w:eastAsia="zh-CN"/>
        </w:rPr>
        <w:t>和加盖骑缝章</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，在每一份响应文件上要明确注明“正本”或“副本”字样，一旦正本和副本内容有差异，以正本为准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每份响应文件应使用A4规格纸张，正副本均须用不褪色墨水书写或打印</w:t>
      </w:r>
      <w:r>
        <w:rPr>
          <w:rFonts w:hint="eastAsia" w:ascii="宋体" w:hAnsi="宋体" w:cs="宋体"/>
          <w:color w:val="auto"/>
          <w:sz w:val="21"/>
          <w:szCs w:val="21"/>
          <w:highlight w:val="none"/>
          <w:lang w:eastAsia="zh-CN"/>
        </w:rPr>
        <w:t>，</w:t>
      </w:r>
      <w:r>
        <w:rPr>
          <w:rFonts w:hint="eastAsia" w:ascii="宋体" w:hAnsi="宋体" w:eastAsia="宋体" w:cs="宋体"/>
          <w:b/>
          <w:bCs/>
          <w:color w:val="auto"/>
          <w:sz w:val="21"/>
          <w:szCs w:val="21"/>
          <w:highlight w:val="none"/>
        </w:rPr>
        <w:t>分别装订成册</w:t>
      </w:r>
      <w:r>
        <w:rPr>
          <w:rFonts w:hint="eastAsia" w:ascii="宋体" w:hAnsi="宋体" w:eastAsia="宋体" w:cs="宋体"/>
          <w:color w:val="auto"/>
          <w:sz w:val="21"/>
          <w:szCs w:val="21"/>
          <w:highlight w:val="none"/>
          <w:lang w:eastAsia="zh-CN"/>
        </w:rPr>
        <w:t>。</w:t>
      </w:r>
    </w:p>
    <w:p w14:paraId="35FB9A59">
      <w:pPr>
        <w:keepNext w:val="0"/>
        <w:keepLines w:val="0"/>
        <w:pageBreakBefore w:val="0"/>
        <w:numPr>
          <w:ilvl w:val="0"/>
          <w:numId w:val="0"/>
        </w:numPr>
        <w:kinsoku/>
        <w:wordWrap/>
        <w:overflowPunct/>
        <w:topLinePunct w:val="0"/>
        <w:bidi w:val="0"/>
        <w:spacing w:line="360" w:lineRule="exact"/>
        <w:ind w:firstLine="420" w:firstLineChars="200"/>
        <w:jc w:val="both"/>
        <w:rPr>
          <w:rFonts w:hint="default" w:eastAsia="宋体"/>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rPr>
        <w:t>正本</w:t>
      </w:r>
      <w:r>
        <w:rPr>
          <w:rFonts w:hint="eastAsia" w:ascii="宋体" w:hAnsi="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rPr>
        <w:t>副本一起</w:t>
      </w:r>
      <w:r>
        <w:rPr>
          <w:rFonts w:hint="eastAsia" w:ascii="宋体" w:hAnsi="宋体" w:cs="宋体"/>
          <w:b/>
          <w:bCs/>
          <w:color w:val="auto"/>
          <w:sz w:val="21"/>
          <w:szCs w:val="21"/>
          <w:highlight w:val="none"/>
          <w:lang w:val="en-US" w:eastAsia="zh-CN"/>
        </w:rPr>
        <w:t>密封</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封装的外包装须注明</w:t>
      </w:r>
      <w:r>
        <w:rPr>
          <w:rFonts w:hint="eastAsia" w:ascii="宋体" w:hAnsi="宋体" w:cs="宋体"/>
          <w:b/>
          <w:bCs/>
          <w:color w:val="auto"/>
          <w:sz w:val="21"/>
          <w:szCs w:val="21"/>
          <w:highlight w:val="none"/>
          <w:lang w:val="en-US" w:eastAsia="zh-CN"/>
        </w:rPr>
        <w:t>参选的采购项目名称、参选供应商并加盖供应商公章</w:t>
      </w:r>
      <w:r>
        <w:rPr>
          <w:rFonts w:hint="eastAsia" w:ascii="宋体" w:hAnsi="宋体" w:cs="宋体"/>
          <w:b w:val="0"/>
          <w:bCs w:val="0"/>
          <w:color w:val="auto"/>
          <w:sz w:val="21"/>
          <w:szCs w:val="21"/>
          <w:highlight w:val="none"/>
          <w:lang w:val="en-US" w:eastAsia="zh-CN"/>
        </w:rPr>
        <w:t>。</w:t>
      </w:r>
    </w:p>
    <w:p w14:paraId="22D1EBB4">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b w:val="0"/>
          <w:bCs w:val="0"/>
          <w:color w:val="auto"/>
          <w:sz w:val="21"/>
          <w:szCs w:val="21"/>
          <w:highlight w:val="none"/>
          <w:u w:val="none"/>
        </w:rPr>
      </w:pPr>
      <w:r>
        <w:rPr>
          <w:rFonts w:hint="eastAsia" w:ascii="宋体" w:hAnsi="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u w:val="none"/>
        </w:rPr>
        <w:t>所有响应文件应在</w:t>
      </w:r>
      <w:r>
        <w:rPr>
          <w:rFonts w:hint="eastAsia" w:ascii="宋体" w:hAnsi="宋体" w:eastAsia="宋体" w:cs="宋体"/>
          <w:b w:val="0"/>
          <w:bCs w:val="0"/>
          <w:color w:val="auto"/>
          <w:sz w:val="21"/>
          <w:szCs w:val="21"/>
          <w:highlight w:val="none"/>
          <w:u w:val="none"/>
          <w:lang w:eastAsia="zh-CN"/>
        </w:rPr>
        <w:t>比选公告</w:t>
      </w:r>
      <w:r>
        <w:rPr>
          <w:rFonts w:hint="eastAsia" w:ascii="宋体" w:hAnsi="宋体" w:eastAsia="宋体" w:cs="宋体"/>
          <w:b w:val="0"/>
          <w:bCs w:val="0"/>
          <w:color w:val="auto"/>
          <w:sz w:val="21"/>
          <w:szCs w:val="21"/>
          <w:highlight w:val="none"/>
          <w:u w:val="none"/>
        </w:rPr>
        <w:t>中规定的截止时间前递交到</w:t>
      </w:r>
      <w:r>
        <w:rPr>
          <w:rFonts w:hint="eastAsia" w:ascii="宋体" w:hAnsi="宋体" w:cs="宋体"/>
          <w:b w:val="0"/>
          <w:bCs w:val="0"/>
          <w:color w:val="auto"/>
          <w:sz w:val="21"/>
          <w:szCs w:val="21"/>
          <w:highlight w:val="none"/>
          <w:u w:val="none"/>
          <w:lang w:val="en-US" w:eastAsia="zh-CN"/>
        </w:rPr>
        <w:t>所要求的地点</w:t>
      </w:r>
      <w:r>
        <w:rPr>
          <w:rFonts w:hint="eastAsia" w:ascii="宋体" w:hAnsi="宋体" w:eastAsia="宋体" w:cs="宋体"/>
          <w:b w:val="0"/>
          <w:bCs w:val="0"/>
          <w:color w:val="auto"/>
          <w:sz w:val="21"/>
          <w:szCs w:val="21"/>
          <w:highlight w:val="none"/>
          <w:u w:val="none"/>
        </w:rPr>
        <w:t>，任何迟于递交截止时间的响应文件将被拒绝，本次</w:t>
      </w:r>
      <w:r>
        <w:rPr>
          <w:rFonts w:hint="eastAsia" w:ascii="宋体" w:hAnsi="宋体" w:eastAsia="宋体" w:cs="宋体"/>
          <w:b w:val="0"/>
          <w:bCs w:val="0"/>
          <w:color w:val="auto"/>
          <w:sz w:val="21"/>
          <w:szCs w:val="21"/>
          <w:highlight w:val="none"/>
          <w:u w:val="none"/>
          <w:lang w:eastAsia="zh-CN"/>
        </w:rPr>
        <w:t>比选</w:t>
      </w:r>
      <w:r>
        <w:rPr>
          <w:rFonts w:hint="eastAsia" w:ascii="宋体" w:hAnsi="宋体" w:eastAsia="宋体" w:cs="宋体"/>
          <w:b w:val="0"/>
          <w:bCs w:val="0"/>
          <w:color w:val="auto"/>
          <w:sz w:val="21"/>
          <w:szCs w:val="21"/>
          <w:highlight w:val="none"/>
          <w:u w:val="none"/>
        </w:rPr>
        <w:t>不接受电报、电话、传真方式报价。</w:t>
      </w:r>
    </w:p>
    <w:p w14:paraId="6967E1FD">
      <w:pPr>
        <w:keepNext w:val="0"/>
        <w:keepLines w:val="0"/>
        <w:pageBreakBefore w:val="0"/>
        <w:numPr>
          <w:ilvl w:val="0"/>
          <w:numId w:val="0"/>
        </w:numPr>
        <w:tabs>
          <w:tab w:val="left" w:pos="424"/>
        </w:tabs>
        <w:kinsoku/>
        <w:overflowPunct/>
        <w:topLinePunct w:val="0"/>
        <w:autoSpaceDE/>
        <w:autoSpaceDN/>
        <w:bidi w:val="0"/>
        <w:spacing w:line="360" w:lineRule="exact"/>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九</w:t>
      </w:r>
      <w:r>
        <w:rPr>
          <w:rFonts w:hint="eastAsia" w:ascii="宋体" w:hAnsi="宋体" w:eastAsia="宋体" w:cs="宋体"/>
          <w:b/>
          <w:bCs/>
          <w:sz w:val="21"/>
          <w:szCs w:val="21"/>
          <w:lang w:val="en-US" w:eastAsia="zh-CN"/>
        </w:rPr>
        <w:t>、评选方法</w:t>
      </w:r>
    </w:p>
    <w:p w14:paraId="5DC7934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本次比选的评选方式为综合评分法。本项目确定一名中选人，</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将各有效供应商按其综合得分由高到低顺序排序，排名第一的供应商为中选人。如出现供应商综合得分相同的，按报价得分由高到低排列，报价得分相同的按技术得分由高到低排列，技术得分相同的，按商务得分由高到低排列，所有分值均相同的，名次由</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投票确定（少数服从多数）</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当提交响应文件的供应商＜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家或通过</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val="en-US" w:eastAsia="zh-CN"/>
        </w:rPr>
        <w:t>符合性审查的供应商＜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家的，本项目按废标处理。</w:t>
      </w:r>
    </w:p>
    <w:p w14:paraId="003815C6">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第一阶段：</w:t>
      </w:r>
      <w:r>
        <w:rPr>
          <w:rFonts w:hint="eastAsia" w:ascii="宋体" w:hAnsi="宋体" w:cs="宋体"/>
          <w:b/>
          <w:bCs/>
          <w:color w:val="auto"/>
          <w:kern w:val="0"/>
          <w:sz w:val="21"/>
          <w:szCs w:val="21"/>
          <w:highlight w:val="none"/>
          <w:lang w:val="en-US" w:eastAsia="zh-CN" w:bidi="ar-SA"/>
        </w:rPr>
        <w:t>资格性评审</w:t>
      </w:r>
    </w:p>
    <w:p w14:paraId="7F38493C">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lang w:val="en-US"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w:t>
      </w:r>
      <w:r>
        <w:rPr>
          <w:rFonts w:hint="eastAsia" w:ascii="宋体" w:hAnsi="宋体" w:cs="宋体"/>
          <w:bCs/>
          <w:color w:val="auto"/>
          <w:sz w:val="21"/>
          <w:szCs w:val="21"/>
          <w:highlight w:val="none"/>
          <w:lang w:val="en-US" w:eastAsia="zh-CN"/>
        </w:rPr>
        <w:t>参选供应商</w:t>
      </w:r>
      <w:r>
        <w:rPr>
          <w:rFonts w:hint="eastAsia" w:ascii="宋体" w:hAnsi="宋体" w:eastAsia="宋体" w:cs="宋体"/>
          <w:bCs/>
          <w:color w:val="auto"/>
          <w:sz w:val="21"/>
          <w:szCs w:val="21"/>
          <w:highlight w:val="none"/>
          <w:lang w:eastAsia="zh-CN"/>
        </w:rPr>
        <w:t>进行</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eastAsia="zh-CN"/>
        </w:rPr>
        <w:t>审查</w:t>
      </w:r>
      <w:r>
        <w:rPr>
          <w:rFonts w:hint="eastAsia" w:ascii="宋体" w:hAnsi="宋体" w:cs="宋体"/>
          <w:bCs/>
          <w:color w:val="auto"/>
          <w:sz w:val="21"/>
          <w:szCs w:val="21"/>
          <w:highlight w:val="none"/>
          <w:lang w:eastAsia="zh-CN"/>
        </w:rPr>
        <w:t>。</w:t>
      </w:r>
    </w:p>
    <w:p w14:paraId="62E6C491">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第二阶段：</w:t>
      </w:r>
      <w:r>
        <w:rPr>
          <w:rFonts w:hint="eastAsia" w:ascii="宋体" w:hAnsi="宋体" w:eastAsia="宋体" w:cs="宋体"/>
          <w:b/>
          <w:bCs/>
          <w:color w:val="auto"/>
          <w:kern w:val="0"/>
          <w:sz w:val="21"/>
          <w:szCs w:val="21"/>
          <w:highlight w:val="none"/>
          <w:lang w:val="en-US" w:eastAsia="zh-CN" w:bidi="ar-SA"/>
        </w:rPr>
        <w:t>符合性评审</w:t>
      </w:r>
    </w:p>
    <w:p w14:paraId="07A2937D">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根据比选公告对响应文件进行符合性审查</w:t>
      </w:r>
      <w:r>
        <w:rPr>
          <w:rFonts w:hint="eastAsia" w:ascii="宋体" w:hAnsi="宋体" w:eastAsia="宋体" w:cs="宋体"/>
          <w:color w:val="auto"/>
          <w:spacing w:val="0"/>
          <w:kern w:val="2"/>
          <w:sz w:val="21"/>
          <w:szCs w:val="21"/>
        </w:rPr>
        <w:t>：</w:t>
      </w:r>
    </w:p>
    <w:p w14:paraId="54A5E32A">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参选文件及报价表有效期符合采购文件要求</w:t>
      </w:r>
      <w:r>
        <w:rPr>
          <w:rFonts w:hint="eastAsia" w:ascii="宋体" w:hAnsi="宋体" w:eastAsia="宋体" w:cs="宋体"/>
          <w:bCs/>
          <w:color w:val="auto"/>
          <w:sz w:val="21"/>
          <w:szCs w:val="21"/>
          <w:highlight w:val="none"/>
          <w:lang w:val="en-US" w:eastAsia="zh-CN"/>
        </w:rPr>
        <w:t>；</w:t>
      </w:r>
    </w:p>
    <w:p w14:paraId="7D892A72">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eastAsia" w:ascii="宋体" w:hAnsi="宋体"/>
          <w:color w:val="auto"/>
          <w:highlight w:val="none"/>
          <w:lang w:bidi="ar"/>
        </w:rPr>
        <w:t>已提交法定代表人证明书和授权委托书（供应商代表为法定代表人时则不需要授权委托书）</w:t>
      </w:r>
      <w:r>
        <w:rPr>
          <w:rFonts w:hint="eastAsia" w:ascii="宋体" w:hAnsi="宋体"/>
          <w:color w:val="auto"/>
          <w:highlight w:val="none"/>
          <w:lang w:eastAsia="zh-CN" w:bidi="ar"/>
        </w:rPr>
        <w:t>；</w:t>
      </w:r>
    </w:p>
    <w:p w14:paraId="3BC33557">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3.参选文件主要资料齐全，签字盖章</w:t>
      </w:r>
      <w:r>
        <w:rPr>
          <w:rFonts w:hint="eastAsia" w:ascii="宋体" w:hAnsi="宋体" w:eastAsia="宋体" w:cs="宋体"/>
          <w:bCs/>
          <w:color w:val="auto"/>
          <w:sz w:val="21"/>
          <w:szCs w:val="21"/>
          <w:highlight w:val="none"/>
          <w:lang w:val="en-US" w:eastAsia="zh-CN"/>
        </w:rPr>
        <w:t>符合</w:t>
      </w:r>
      <w:r>
        <w:rPr>
          <w:rFonts w:hint="eastAsia" w:ascii="宋体" w:hAnsi="宋体" w:cs="宋体"/>
          <w:b/>
          <w:bCs w:val="0"/>
          <w:color w:val="auto"/>
          <w:sz w:val="21"/>
          <w:szCs w:val="21"/>
          <w:highlight w:val="none"/>
          <w:lang w:val="en-US" w:eastAsia="zh-CN"/>
        </w:rPr>
        <w:t>“八、响应文件内容要求”</w:t>
      </w:r>
      <w:r>
        <w:rPr>
          <w:rFonts w:hint="eastAsia" w:ascii="宋体" w:hAnsi="宋体" w:cs="宋体"/>
          <w:bCs/>
          <w:color w:val="auto"/>
          <w:sz w:val="21"/>
          <w:szCs w:val="21"/>
          <w:highlight w:val="none"/>
          <w:lang w:val="en-US" w:eastAsia="zh-CN"/>
        </w:rPr>
        <w:t>；</w:t>
      </w:r>
    </w:p>
    <w:p w14:paraId="5B5895AB">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4.按本公告规定格式填写，无内容不全或关键字迹模糊、无法辨认；</w:t>
      </w:r>
    </w:p>
    <w:p w14:paraId="5C1D73A1">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5.满足采购</w:t>
      </w:r>
      <w:r>
        <w:rPr>
          <w:rFonts w:hint="default" w:ascii="宋体" w:hAnsi="宋体" w:eastAsia="宋体" w:cs="宋体"/>
          <w:bCs/>
          <w:color w:val="auto"/>
          <w:sz w:val="21"/>
          <w:szCs w:val="21"/>
          <w:highlight w:val="none"/>
          <w:lang w:val="en-US" w:eastAsia="zh-CN"/>
        </w:rPr>
        <w:t>文件中所有带“★”标识的实质性条款</w:t>
      </w:r>
      <w:r>
        <w:rPr>
          <w:rFonts w:hint="eastAsia" w:ascii="宋体" w:hAnsi="宋体" w:eastAsia="宋体" w:cs="宋体"/>
          <w:bCs/>
          <w:color w:val="auto"/>
          <w:sz w:val="21"/>
          <w:szCs w:val="21"/>
          <w:highlight w:val="none"/>
          <w:lang w:val="en-US" w:eastAsia="zh-CN"/>
        </w:rPr>
        <w:t>（如有）；</w:t>
      </w:r>
    </w:p>
    <w:p w14:paraId="37EF257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6.响应报价未超过</w:t>
      </w:r>
      <w:r>
        <w:rPr>
          <w:rFonts w:hint="eastAsia" w:ascii="宋体" w:hAnsi="宋体" w:cs="宋体"/>
          <w:bCs/>
          <w:color w:val="auto"/>
          <w:sz w:val="21"/>
          <w:szCs w:val="21"/>
          <w:highlight w:val="none"/>
          <w:lang w:val="en-US" w:eastAsia="zh-CN"/>
        </w:rPr>
        <w:t>项目最高限价或</w:t>
      </w:r>
      <w:r>
        <w:rPr>
          <w:rFonts w:hint="eastAsia" w:ascii="宋体" w:hAnsi="宋体" w:eastAsia="宋体" w:cs="宋体"/>
          <w:bCs/>
          <w:color w:val="auto"/>
          <w:sz w:val="21"/>
          <w:szCs w:val="21"/>
          <w:highlight w:val="none"/>
          <w:lang w:val="en-US" w:eastAsia="zh-CN"/>
        </w:rPr>
        <w:t>采购预算金额的；</w:t>
      </w:r>
    </w:p>
    <w:p w14:paraId="1957CE0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7.满足采购文件的其他实质性要求；</w:t>
      </w:r>
    </w:p>
    <w:p w14:paraId="0E3AE07F">
      <w:pPr>
        <w:pStyle w:val="9"/>
        <w:keepNext w:val="0"/>
        <w:keepLines w:val="0"/>
        <w:pageBreakBefore w:val="0"/>
        <w:kinsoku/>
        <w:overflowPunct/>
        <w:topLinePunct w:val="0"/>
        <w:bidi w:val="0"/>
        <w:spacing w:line="360" w:lineRule="exact"/>
        <w:ind w:left="0" w:leftChars="0"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8.与本公告内容无其他不相符的。</w:t>
      </w:r>
    </w:p>
    <w:p w14:paraId="1836152F">
      <w:pPr>
        <w:pStyle w:val="9"/>
        <w:keepNext w:val="0"/>
        <w:keepLines w:val="0"/>
        <w:pageBreakBefore w:val="0"/>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第三</w:t>
      </w:r>
      <w:r>
        <w:rPr>
          <w:rFonts w:hint="eastAsia" w:ascii="宋体" w:hAnsi="宋体" w:eastAsia="宋体" w:cs="宋体"/>
          <w:b/>
          <w:bCs/>
          <w:color w:val="auto"/>
          <w:kern w:val="0"/>
          <w:sz w:val="21"/>
          <w:szCs w:val="21"/>
          <w:highlight w:val="none"/>
          <w:lang w:val="en-US" w:eastAsia="zh-CN" w:bidi="ar-SA"/>
        </w:rPr>
        <w:t>阶段：详细评审</w:t>
      </w:r>
    </w:p>
    <w:p w14:paraId="5499608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详细评审是对</w:t>
      </w:r>
      <w:r>
        <w:rPr>
          <w:rFonts w:hint="eastAsia" w:ascii="宋体" w:hAnsi="宋体" w:eastAsia="宋体" w:cs="宋体"/>
          <w:b/>
          <w:bCs w:val="0"/>
          <w:color w:val="auto"/>
          <w:sz w:val="21"/>
          <w:szCs w:val="21"/>
          <w:highlight w:val="none"/>
          <w:lang w:eastAsia="zh-CN"/>
        </w:rPr>
        <w:t>通过</w:t>
      </w:r>
      <w:r>
        <w:rPr>
          <w:rFonts w:hint="eastAsia" w:ascii="宋体" w:hAnsi="宋体" w:cs="宋体"/>
          <w:b/>
          <w:bCs w:val="0"/>
          <w:color w:val="auto"/>
          <w:sz w:val="21"/>
          <w:szCs w:val="21"/>
          <w:highlight w:val="none"/>
          <w:lang w:val="en-US" w:eastAsia="zh-CN"/>
        </w:rPr>
        <w:t>资格性、</w:t>
      </w:r>
      <w:r>
        <w:rPr>
          <w:rFonts w:hint="eastAsia" w:ascii="宋体" w:hAnsi="宋体" w:eastAsia="宋体" w:cs="宋体"/>
          <w:b/>
          <w:bCs w:val="0"/>
          <w:color w:val="auto"/>
          <w:sz w:val="21"/>
          <w:szCs w:val="21"/>
          <w:highlight w:val="none"/>
          <w:lang w:eastAsia="zh-CN"/>
        </w:rPr>
        <w:t>符合性</w:t>
      </w:r>
      <w:r>
        <w:rPr>
          <w:rFonts w:hint="eastAsia" w:ascii="宋体" w:hAnsi="宋体" w:cs="宋体"/>
          <w:b/>
          <w:bCs w:val="0"/>
          <w:color w:val="auto"/>
          <w:sz w:val="21"/>
          <w:szCs w:val="21"/>
          <w:highlight w:val="none"/>
          <w:lang w:val="en-US" w:eastAsia="zh-CN"/>
        </w:rPr>
        <w:t>评审</w:t>
      </w:r>
      <w:r>
        <w:rPr>
          <w:rFonts w:hint="eastAsia" w:ascii="宋体" w:hAnsi="宋体" w:eastAsia="宋体" w:cs="宋体"/>
          <w:b/>
          <w:bCs w:val="0"/>
          <w:color w:val="auto"/>
          <w:sz w:val="21"/>
          <w:szCs w:val="21"/>
          <w:highlight w:val="none"/>
          <w:lang w:eastAsia="zh-CN"/>
        </w:rPr>
        <w:t>的响应文件</w:t>
      </w:r>
      <w:r>
        <w:rPr>
          <w:rFonts w:hint="eastAsia" w:ascii="宋体" w:hAnsi="宋体" w:eastAsia="宋体" w:cs="宋体"/>
          <w:bCs/>
          <w:color w:val="auto"/>
          <w:sz w:val="21"/>
          <w:szCs w:val="21"/>
          <w:highlight w:val="none"/>
          <w:lang w:eastAsia="zh-CN"/>
        </w:rPr>
        <w:t>进行技术商务和价格的评审。</w:t>
      </w:r>
    </w:p>
    <w:p w14:paraId="79C851B3">
      <w:pPr>
        <w:spacing w:line="360" w:lineRule="auto"/>
        <w:ind w:firstLine="420" w:firstLineChars="200"/>
        <w:rPr>
          <w:rFonts w:ascii="宋体" w:hAnsi="宋体" w:cs="宋体"/>
          <w:color w:val="auto"/>
          <w:highlight w:val="none"/>
        </w:rPr>
      </w:pPr>
      <w:r>
        <w:rPr>
          <w:rFonts w:hint="eastAsia" w:ascii="宋体" w:hAnsi="宋体" w:eastAsia="宋体" w:cs="宋体"/>
          <w:bCs/>
          <w:color w:val="auto"/>
          <w:sz w:val="21"/>
          <w:szCs w:val="21"/>
          <w:highlight w:val="none"/>
          <w:lang w:val="en-US" w:eastAsia="zh-CN"/>
        </w:rPr>
        <w:t>2.</w:t>
      </w:r>
      <w:r>
        <w:rPr>
          <w:rFonts w:hint="eastAsia" w:ascii="宋体" w:hAnsi="宋体" w:cs="宋体"/>
          <w:color w:val="auto"/>
          <w:highlight w:val="none"/>
        </w:rPr>
        <w:t>评分总值最高为100分，技术、商务及价格评分分值（权重）分配：</w:t>
      </w: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751"/>
        <w:gridCol w:w="2270"/>
        <w:gridCol w:w="2271"/>
      </w:tblGrid>
      <w:tr w14:paraId="44E4C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3751" w:type="dxa"/>
            <w:noWrap w:val="0"/>
            <w:vAlign w:val="center"/>
          </w:tcPr>
          <w:p w14:paraId="0E108150">
            <w:pPr>
              <w:jc w:val="center"/>
              <w:rPr>
                <w:rFonts w:ascii="宋体" w:hAnsi="宋体"/>
                <w:color w:val="auto"/>
                <w:highlight w:val="none"/>
              </w:rPr>
            </w:pPr>
            <w:r>
              <w:rPr>
                <w:rFonts w:hint="eastAsia" w:ascii="宋体" w:hAnsi="宋体"/>
                <w:color w:val="auto"/>
                <w:highlight w:val="none"/>
              </w:rPr>
              <w:t>评分项目</w:t>
            </w:r>
          </w:p>
        </w:tc>
        <w:tc>
          <w:tcPr>
            <w:tcW w:w="2270" w:type="dxa"/>
            <w:noWrap w:val="0"/>
            <w:vAlign w:val="center"/>
          </w:tcPr>
          <w:p w14:paraId="4BEF0C76">
            <w:pPr>
              <w:jc w:val="center"/>
              <w:rPr>
                <w:rFonts w:ascii="宋体" w:hAnsi="宋体"/>
                <w:color w:val="auto"/>
                <w:highlight w:val="none"/>
              </w:rPr>
            </w:pPr>
            <w:r>
              <w:rPr>
                <w:rFonts w:hint="eastAsia" w:ascii="宋体" w:hAnsi="宋体"/>
                <w:color w:val="auto"/>
                <w:highlight w:val="none"/>
              </w:rPr>
              <w:t>技术商务评分</w:t>
            </w:r>
          </w:p>
        </w:tc>
        <w:tc>
          <w:tcPr>
            <w:tcW w:w="2271" w:type="dxa"/>
            <w:noWrap w:val="0"/>
            <w:vAlign w:val="center"/>
          </w:tcPr>
          <w:p w14:paraId="0D9FE462">
            <w:pPr>
              <w:jc w:val="center"/>
              <w:rPr>
                <w:rFonts w:ascii="宋体" w:hAnsi="宋体"/>
                <w:color w:val="auto"/>
                <w:highlight w:val="none"/>
              </w:rPr>
            </w:pPr>
            <w:r>
              <w:rPr>
                <w:rFonts w:hint="eastAsia" w:ascii="宋体" w:hAnsi="宋体"/>
                <w:color w:val="auto"/>
                <w:highlight w:val="none"/>
              </w:rPr>
              <w:t>价格评分</w:t>
            </w:r>
          </w:p>
        </w:tc>
      </w:tr>
      <w:tr w14:paraId="0C0F3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751" w:type="dxa"/>
            <w:noWrap w:val="0"/>
            <w:vAlign w:val="center"/>
          </w:tcPr>
          <w:p w14:paraId="64D54E0E">
            <w:pPr>
              <w:jc w:val="center"/>
              <w:rPr>
                <w:rFonts w:ascii="宋体" w:hAnsi="宋体"/>
                <w:color w:val="auto"/>
                <w:highlight w:val="none"/>
              </w:rPr>
            </w:pPr>
            <w:r>
              <w:rPr>
                <w:rFonts w:hint="eastAsia" w:ascii="宋体" w:hAnsi="宋体"/>
                <w:color w:val="auto"/>
                <w:highlight w:val="none"/>
              </w:rPr>
              <w:t>权重（总和为100％）</w:t>
            </w:r>
          </w:p>
        </w:tc>
        <w:tc>
          <w:tcPr>
            <w:tcW w:w="2270" w:type="dxa"/>
            <w:noWrap w:val="0"/>
            <w:vAlign w:val="center"/>
          </w:tcPr>
          <w:p w14:paraId="00993170">
            <w:pPr>
              <w:jc w:val="center"/>
              <w:rPr>
                <w:rFonts w:ascii="宋体" w:hAnsi="宋体"/>
                <w:color w:val="auto"/>
                <w:szCs w:val="21"/>
                <w:highlight w:val="none"/>
              </w:rPr>
            </w:pPr>
            <w:r>
              <w:rPr>
                <w:rFonts w:hint="eastAsia" w:ascii="宋体" w:hAnsi="宋体"/>
                <w:color w:val="auto"/>
                <w:szCs w:val="21"/>
                <w:highlight w:val="none"/>
                <w:lang w:val="en-US" w:eastAsia="zh-CN"/>
              </w:rPr>
              <w:t>80</w:t>
            </w:r>
            <w:r>
              <w:rPr>
                <w:rFonts w:hint="eastAsia" w:ascii="宋体" w:hAnsi="宋体"/>
                <w:color w:val="auto"/>
                <w:szCs w:val="21"/>
                <w:highlight w:val="none"/>
              </w:rPr>
              <w:t>％</w:t>
            </w:r>
          </w:p>
        </w:tc>
        <w:tc>
          <w:tcPr>
            <w:tcW w:w="2271" w:type="dxa"/>
            <w:noWrap w:val="0"/>
            <w:vAlign w:val="center"/>
          </w:tcPr>
          <w:p w14:paraId="5F12E878">
            <w:pPr>
              <w:jc w:val="center"/>
              <w:rPr>
                <w:rFonts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w:t>
            </w:r>
          </w:p>
        </w:tc>
      </w:tr>
      <w:tr w14:paraId="0B222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3751" w:type="dxa"/>
            <w:noWrap w:val="0"/>
            <w:vAlign w:val="center"/>
          </w:tcPr>
          <w:p w14:paraId="28CCC5CE">
            <w:pPr>
              <w:jc w:val="center"/>
              <w:rPr>
                <w:rFonts w:ascii="宋体" w:hAnsi="宋体"/>
                <w:color w:val="auto"/>
                <w:highlight w:val="none"/>
              </w:rPr>
            </w:pPr>
            <w:r>
              <w:rPr>
                <w:rFonts w:hint="eastAsia" w:ascii="宋体" w:hAnsi="宋体"/>
                <w:color w:val="auto"/>
                <w:highlight w:val="none"/>
              </w:rPr>
              <w:t>分值（满分为100分）</w:t>
            </w:r>
          </w:p>
        </w:tc>
        <w:tc>
          <w:tcPr>
            <w:tcW w:w="2270" w:type="dxa"/>
            <w:noWrap w:val="0"/>
            <w:vAlign w:val="center"/>
          </w:tcPr>
          <w:p w14:paraId="6AA30264">
            <w:pPr>
              <w:jc w:val="center"/>
              <w:rPr>
                <w:rFonts w:ascii="宋体" w:hAnsi="宋体"/>
                <w:color w:val="auto"/>
                <w:szCs w:val="21"/>
                <w:highlight w:val="none"/>
              </w:rPr>
            </w:pPr>
            <w:r>
              <w:rPr>
                <w:rFonts w:hint="eastAsia" w:ascii="宋体" w:hAnsi="宋体"/>
                <w:color w:val="auto"/>
                <w:szCs w:val="21"/>
                <w:highlight w:val="none"/>
                <w:lang w:val="en-US" w:eastAsia="zh-CN"/>
              </w:rPr>
              <w:t>80</w:t>
            </w:r>
            <w:r>
              <w:rPr>
                <w:rFonts w:hint="eastAsia" w:ascii="宋体" w:hAnsi="宋体"/>
                <w:color w:val="auto"/>
                <w:szCs w:val="21"/>
                <w:highlight w:val="none"/>
              </w:rPr>
              <w:t>分</w:t>
            </w:r>
          </w:p>
        </w:tc>
        <w:tc>
          <w:tcPr>
            <w:tcW w:w="2271" w:type="dxa"/>
            <w:noWrap w:val="0"/>
            <w:vAlign w:val="center"/>
          </w:tcPr>
          <w:p w14:paraId="72A16DBC">
            <w:pPr>
              <w:jc w:val="center"/>
              <w:rPr>
                <w:rFonts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分</w:t>
            </w:r>
          </w:p>
        </w:tc>
      </w:tr>
    </w:tbl>
    <w:p w14:paraId="74D7D2A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综合得分按以下公式计算：综合得分=商务技术得分+报价得分</w:t>
      </w:r>
    </w:p>
    <w:tbl>
      <w:tblPr>
        <w:tblStyle w:val="15"/>
        <w:tblW w:w="5023"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0" w:type="dxa"/>
          <w:bottom w:w="0" w:type="dxa"/>
          <w:right w:w="0" w:type="dxa"/>
        </w:tblCellMar>
      </w:tblPr>
      <w:tblGrid>
        <w:gridCol w:w="1222"/>
        <w:gridCol w:w="1622"/>
        <w:gridCol w:w="7071"/>
      </w:tblGrid>
      <w:tr w14:paraId="0AC20336">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0" w:hRule="atLeast"/>
          <w:tblHeader/>
          <w:jc w:val="center"/>
        </w:trPr>
        <w:tc>
          <w:tcPr>
            <w:tcW w:w="616"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0E0D8FA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内容</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04F218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firstLine="0" w:firstLineChars="0"/>
              <w:jc w:val="center"/>
              <w:rPr>
                <w:rStyle w:val="18"/>
                <w:rFonts w:hint="eastAsia" w:ascii="宋体" w:hAnsi="宋体" w:eastAsia="宋体" w:cs="宋体"/>
                <w:color w:val="333333"/>
                <w:sz w:val="21"/>
                <w:szCs w:val="21"/>
                <w:lang w:eastAsia="zh-CN"/>
              </w:rPr>
            </w:pPr>
            <w:r>
              <w:rPr>
                <w:rStyle w:val="18"/>
                <w:rFonts w:hint="eastAsia" w:ascii="宋体" w:hAnsi="宋体" w:eastAsia="宋体" w:cs="宋体"/>
                <w:color w:val="333333"/>
                <w:sz w:val="21"/>
                <w:szCs w:val="21"/>
                <w:lang w:eastAsia="zh-CN"/>
              </w:rPr>
              <w:t>评审项目</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A11D4F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right="0" w:firstLine="42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评分标准</w:t>
            </w:r>
          </w:p>
        </w:tc>
      </w:tr>
      <w:tr w14:paraId="4C7F3674">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15E1FED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7FFDAD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价格得分</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lang w:eastAsia="zh-CN"/>
              </w:rPr>
              <w:t>）</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948E2E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价格分采用低价优先法计算，即满足</w:t>
            </w:r>
            <w:r>
              <w:rPr>
                <w:rFonts w:hint="eastAsia" w:ascii="宋体" w:hAnsi="宋体" w:eastAsia="宋体" w:cs="宋体"/>
                <w:color w:val="auto"/>
                <w:sz w:val="21"/>
                <w:szCs w:val="21"/>
                <w:highlight w:val="none"/>
                <w:lang w:eastAsia="zh-CN"/>
              </w:rPr>
              <w:t>比选公告</w:t>
            </w:r>
            <w:r>
              <w:rPr>
                <w:rFonts w:hint="eastAsia" w:ascii="宋体" w:hAnsi="宋体" w:eastAsia="宋体" w:cs="宋体"/>
                <w:color w:val="auto"/>
                <w:sz w:val="21"/>
                <w:szCs w:val="21"/>
                <w:highlight w:val="none"/>
              </w:rPr>
              <w:t>要求且</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最低的为评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基准价，其价格分为满分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0，其他</w:t>
            </w:r>
            <w:r>
              <w:rPr>
                <w:rFonts w:hint="eastAsia" w:ascii="宋体" w:hAnsi="宋体" w:eastAsia="宋体" w:cs="宋体"/>
                <w:color w:val="auto"/>
                <w:sz w:val="21"/>
                <w:szCs w:val="21"/>
                <w:highlight w:val="none"/>
                <w:lang w:eastAsia="zh-CN"/>
              </w:rPr>
              <w:t>响应供应商</w:t>
            </w:r>
            <w:r>
              <w:rPr>
                <w:rFonts w:hint="eastAsia" w:ascii="宋体" w:hAnsi="宋体" w:eastAsia="宋体" w:cs="宋体"/>
                <w:color w:val="auto"/>
                <w:sz w:val="21"/>
                <w:szCs w:val="21"/>
                <w:highlight w:val="none"/>
              </w:rPr>
              <w:t>的价格分统一按照下列公式计算</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报价得分</w:t>
            </w:r>
            <w:r>
              <w:rPr>
                <w:rFonts w:hint="eastAsia" w:ascii="宋体" w:hAnsi="宋体" w:eastAsia="宋体" w:cs="宋体"/>
                <w:color w:val="auto"/>
                <w:sz w:val="21"/>
                <w:szCs w:val="21"/>
                <w:highlight w:val="none"/>
              </w:rPr>
              <w:t>四舍五入精确到小数点后2位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643E750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报价得分=（评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基准价格/</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价格）×</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0</w:t>
            </w:r>
          </w:p>
        </w:tc>
      </w:tr>
      <w:tr w14:paraId="1BA74AE0">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616" w:type="pct"/>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14:paraId="43E5843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w:t>
            </w:r>
            <w:r>
              <w:rPr>
                <w:rFonts w:hint="eastAsia" w:ascii="宋体" w:hAnsi="宋体" w:cs="宋体"/>
                <w:color w:val="auto"/>
                <w:sz w:val="21"/>
                <w:szCs w:val="21"/>
                <w:highlight w:val="none"/>
                <w:lang w:val="en-US" w:eastAsia="zh-CN"/>
              </w:rPr>
              <w:t>技术</w:t>
            </w:r>
            <w:r>
              <w:rPr>
                <w:rFonts w:hint="eastAsia" w:ascii="宋体" w:hAnsi="宋体" w:eastAsia="宋体" w:cs="宋体"/>
                <w:color w:val="auto"/>
                <w:sz w:val="21"/>
                <w:szCs w:val="21"/>
                <w:highlight w:val="none"/>
                <w:lang w:eastAsia="zh-CN"/>
              </w:rPr>
              <w:t>部分</w:t>
            </w:r>
          </w:p>
          <w:p w14:paraId="69FFB87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80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600EBEF">
            <w:pPr>
              <w:spacing w:line="300" w:lineRule="exact"/>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对采购需求书中各条款的响应程度</w:t>
            </w:r>
          </w:p>
          <w:p w14:paraId="6967D278">
            <w:pPr>
              <w:spacing w:line="300" w:lineRule="exact"/>
              <w:jc w:val="center"/>
              <w:rPr>
                <w:rFonts w:hint="eastAsia" w:ascii="宋体" w:hAnsi="宋体" w:eastAsia="宋体" w:cs="宋体"/>
                <w:color w:val="auto"/>
                <w:sz w:val="21"/>
                <w:szCs w:val="21"/>
                <w:highlight w:val="none"/>
              </w:rPr>
            </w:pPr>
            <w:r>
              <w:rPr>
                <w:rFonts w:hint="eastAsia" w:ascii="宋体" w:hAnsi="宋体" w:cs="宋体"/>
                <w:bCs/>
                <w:color w:val="auto"/>
                <w:szCs w:val="21"/>
                <w:highlight w:val="none"/>
                <w:lang w:val="en-US" w:eastAsia="zh-CN"/>
              </w:rPr>
              <w:t>(50分)</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169566E">
            <w:pPr>
              <w:numPr>
                <w:ilvl w:val="0"/>
                <w:numId w:val="0"/>
              </w:num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lang w:val="en-US" w:eastAsia="zh-CN"/>
              </w:rPr>
              <w:t>服务内容及范围</w:t>
            </w:r>
            <w:r>
              <w:rPr>
                <w:rFonts w:hint="eastAsia" w:ascii="宋体" w:hAnsi="宋体" w:cs="宋体"/>
                <w:color w:val="auto"/>
                <w:sz w:val="21"/>
                <w:szCs w:val="21"/>
                <w:highlight w:val="none"/>
                <w:lang w:val="en-US" w:eastAsia="zh-CN"/>
              </w:rPr>
              <w:t>、（二）服务期限</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下列的所有条款</w:t>
            </w:r>
            <w:r>
              <w:rPr>
                <w:rFonts w:hint="eastAsia" w:ascii="宋体" w:hAnsi="宋体" w:eastAsia="宋体" w:cs="宋体"/>
                <w:color w:val="auto"/>
                <w:szCs w:val="21"/>
                <w:highlight w:val="none"/>
              </w:rPr>
              <w:t>（非“★”、非“▲”号条款）</w:t>
            </w:r>
            <w:r>
              <w:rPr>
                <w:rFonts w:hint="eastAsia" w:ascii="宋体" w:hAnsi="宋体" w:cs="宋体"/>
                <w:color w:val="auto"/>
                <w:szCs w:val="21"/>
                <w:highlight w:val="none"/>
                <w:lang w:val="en-US" w:eastAsia="zh-CN"/>
              </w:rPr>
              <w:t>共2项，本项目满分1分，</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=一般条款响应程度得分（按四舍五入保留两位）。</w:t>
            </w:r>
          </w:p>
          <w:p w14:paraId="15A22D04">
            <w:pPr>
              <w:numPr>
                <w:ilvl w:val="0"/>
                <w:numId w:val="0"/>
              </w:numP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技术要求</w:t>
            </w:r>
            <w:r>
              <w:rPr>
                <w:rFonts w:hint="eastAsia" w:ascii="宋体" w:hAnsi="宋体" w:cs="宋体"/>
                <w:color w:val="auto"/>
                <w:sz w:val="21"/>
                <w:szCs w:val="21"/>
                <w:highlight w:val="none"/>
                <w:lang w:val="en-US" w:eastAsia="zh-CN"/>
              </w:rPr>
              <w:t>”下列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38</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46</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46</w:t>
            </w:r>
            <w:r>
              <w:rPr>
                <w:rFonts w:hint="eastAsia" w:ascii="宋体" w:hAnsi="宋体" w:eastAsia="宋体" w:cs="宋体"/>
                <w:color w:val="auto"/>
                <w:szCs w:val="21"/>
                <w:highlight w:val="none"/>
              </w:rPr>
              <w:t>=一般条款响应程度得分（按四舍五入保留两位）。</w:t>
            </w:r>
          </w:p>
          <w:p w14:paraId="1FE672C7">
            <w:pPr>
              <w:numPr>
                <w:ilvl w:val="0"/>
                <w:numId w:val="0"/>
              </w:numP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（四）</w:t>
            </w:r>
            <w:r>
              <w:rPr>
                <w:rFonts w:hint="eastAsia" w:ascii="宋体" w:hAnsi="宋体" w:cs="宋体"/>
                <w:color w:val="auto"/>
                <w:sz w:val="21"/>
                <w:szCs w:val="21"/>
                <w:highlight w:val="none"/>
                <w:lang w:val="en-US" w:eastAsia="zh-CN"/>
              </w:rPr>
              <w:t>商务要求”下列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=一般条款响应程度得分（按四舍五入保留两位）。</w:t>
            </w:r>
          </w:p>
          <w:p w14:paraId="12F4AE5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both"/>
              <w:rPr>
                <w:rFonts w:hint="default" w:ascii="宋体" w:hAnsi="宋体" w:eastAsia="宋体" w:cs="宋体"/>
                <w:color w:val="auto"/>
                <w:sz w:val="21"/>
                <w:szCs w:val="21"/>
                <w:highlight w:val="none"/>
                <w:lang w:val="en-US" w:eastAsia="zh-CN"/>
              </w:rPr>
            </w:pPr>
            <w:r>
              <w:rPr>
                <w:rFonts w:hint="eastAsia" w:ascii="宋体" w:hAnsi="宋体" w:cs="宋体"/>
                <w:b/>
                <w:bCs w:val="0"/>
                <w:color w:val="auto"/>
                <w:sz w:val="21"/>
                <w:szCs w:val="21"/>
                <w:highlight w:val="none"/>
                <w:lang w:val="en-US" w:eastAsia="zh-CN"/>
              </w:rPr>
              <w:t>注：本项满分为50分，以采购需求书中要求提供（如有）的证明材料和“附件2参选文件格式”要求提供相关证明文件及指引页码作为评审依据，未按要求提供不得分。</w:t>
            </w:r>
          </w:p>
        </w:tc>
      </w:tr>
      <w:tr w14:paraId="374E2221">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3D01F16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F624C16">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技术团队</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投入情况</w:t>
            </w:r>
          </w:p>
          <w:p w14:paraId="3BE718B5">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yellow"/>
                <w:lang w:eastAsia="zh-CN"/>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2D50CAF5">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对本项目拟投入的技术团队情况进行评审：</w:t>
            </w:r>
          </w:p>
          <w:p w14:paraId="58639FED">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1.项目负责人/主要人员中有从事相关工作年限8年及以上的得5分；</w:t>
            </w:r>
          </w:p>
          <w:p w14:paraId="01E91CD5">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2.项目负责人/主要人员中有从事相关工作年限5年及以上的得4分；</w:t>
            </w:r>
          </w:p>
          <w:p w14:paraId="287808A9">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3.项目负责人/主要人员中有从事相关工作年限2年及以上的得3分；</w:t>
            </w:r>
          </w:p>
          <w:p w14:paraId="3B95AF08">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4.项目负责人/主要人员中有从事相关工作年限不足2年的得2分；</w:t>
            </w:r>
          </w:p>
          <w:p w14:paraId="214A61E7">
            <w:pPr>
              <w:pStyle w:val="13"/>
              <w:numPr>
                <w:ilvl w:val="0"/>
                <w:numId w:val="0"/>
              </w:numPr>
              <w:tabs>
                <w:tab w:val="left" w:pos="7740"/>
              </w:tabs>
              <w:spacing w:line="24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5.未提供的不得分。</w:t>
            </w:r>
          </w:p>
        </w:tc>
      </w:tr>
      <w:tr w14:paraId="12178F1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56757E3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8FE37E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总体实施方案</w:t>
            </w:r>
          </w:p>
          <w:p w14:paraId="0F01B8F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sz w:val="21"/>
                <w:szCs w:val="21"/>
                <w:highlight w:val="none"/>
                <w:lang w:eastAsia="zh-CN"/>
              </w:rPr>
            </w:pP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15</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58FB4C1E">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根据供应商提供的总体实施方案（包括但不限于：服务目标达成措施、服务计划、具体执行措施等）进行评审： </w:t>
            </w:r>
          </w:p>
          <w:p w14:paraId="3B1A4DEA">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1.服务目标达成措施清晰明确，服务计划详尽，执行方案（包括流程、制度等，下同）可操作性强的，得</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val="en-US" w:eastAsia="zh-CN"/>
              </w:rPr>
              <w:t>分；</w:t>
            </w:r>
          </w:p>
          <w:p w14:paraId="1539F399">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2.服务目标达成措施较为明确，服务计划较为详尽，执行方案可操作性较强的，得</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val="en-US" w:eastAsia="zh-CN"/>
              </w:rPr>
              <w:t>分；</w:t>
            </w:r>
          </w:p>
          <w:p w14:paraId="656D855D">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3.服务目标达成措施不明确，服务计划简单粗略，执行方案可操作性较弱的，得</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分；</w:t>
            </w:r>
          </w:p>
          <w:p w14:paraId="0A4E35B2">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4.服务目标达成措施模糊，服务计划缺失，执行方案可操作性差的，得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w:t>
            </w:r>
          </w:p>
          <w:p w14:paraId="24AB8966">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5.未提供相关内容阐述的，不得分。</w:t>
            </w:r>
          </w:p>
        </w:tc>
      </w:tr>
      <w:tr w14:paraId="05EAFE98">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616" w:type="pct"/>
            <w:vMerge w:val="continue"/>
            <w:tcBorders>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1458AD7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7E7168C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服务保障方案</w:t>
            </w:r>
          </w:p>
          <w:p w14:paraId="7CD3FDD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Theme="minorHAnsi" w:hAnsiTheme="minorHAnsi" w:eastAsiaTheme="minorEastAsia" w:cstheme="minorBidi"/>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56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top"/>
          </w:tcPr>
          <w:p w14:paraId="3D1159A9">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根据供应商提供的服务保障方案（包括但不限于：服务支撑能力、应急保障机制、售后服务体系</w:t>
            </w:r>
            <w:r>
              <w:rPr>
                <w:rFonts w:hint="eastAsia" w:ascii="宋体" w:hAnsi="宋体" w:cs="宋体"/>
                <w:color w:val="auto"/>
                <w:szCs w:val="21"/>
                <w:highlight w:val="none"/>
                <w:lang w:val="en-US" w:eastAsia="zh-CN"/>
              </w:rPr>
              <w:t>、</w:t>
            </w:r>
            <w:r>
              <w:rPr>
                <w:rFonts w:hint="eastAsia" w:ascii="宋体" w:hAnsi="宋体" w:eastAsia="宋体" w:cs="宋体"/>
                <w:color w:val="auto"/>
                <w:sz w:val="21"/>
                <w:szCs w:val="21"/>
                <w:highlight w:val="none"/>
                <w:lang w:val="en-US" w:eastAsia="zh-CN"/>
              </w:rPr>
              <w:t>设备维修保养服务满意度</w:t>
            </w:r>
            <w:r>
              <w:rPr>
                <w:rFonts w:hint="eastAsia" w:ascii="宋体" w:hAnsi="宋体" w:cs="宋体"/>
                <w:color w:val="auto"/>
                <w:sz w:val="21"/>
                <w:szCs w:val="21"/>
                <w:highlight w:val="none"/>
                <w:lang w:val="en-US" w:eastAsia="zh-CN"/>
              </w:rPr>
              <w:t>评价</w:t>
            </w:r>
            <w:r>
              <w:rPr>
                <w:rFonts w:hint="eastAsia" w:ascii="宋体" w:hAnsi="宋体" w:eastAsia="宋体" w:cs="宋体"/>
                <w:color w:val="auto"/>
                <w:szCs w:val="21"/>
                <w:highlight w:val="none"/>
                <w:lang w:val="en-US" w:eastAsia="zh-CN"/>
              </w:rPr>
              <w:t>等）进行评审：</w:t>
            </w:r>
          </w:p>
          <w:p w14:paraId="1724668C">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1.服务支撑能力强，针对本项目运作相关应急保障机制十分详细合理，售后服务体系非常完善，得</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分；</w:t>
            </w:r>
          </w:p>
          <w:p w14:paraId="623EB878">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2.服务支撑能力较强，针对本项目运作的相关应急保障机制比较合理，售后服务体系较完善，得</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分；</w:t>
            </w:r>
          </w:p>
          <w:p w14:paraId="6E868C5F">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3.服务支撑能力一般，针对本项目良好运作的相关应急保障机制一般，售后服务体系一般的，得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分；</w:t>
            </w:r>
          </w:p>
          <w:p w14:paraId="3E705AB7">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4.服务支撑能力弱，未针对本项目提供相关应急保障机制，售后服务体系较差的，得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分；</w:t>
            </w:r>
          </w:p>
          <w:p w14:paraId="62846504">
            <w:pPr>
              <w:pStyle w:val="13"/>
              <w:numPr>
                <w:ilvl w:val="0"/>
                <w:numId w:val="0"/>
              </w:numPr>
              <w:tabs>
                <w:tab w:val="left" w:pos="7740"/>
              </w:tabs>
              <w:spacing w:line="240" w:lineRule="auto"/>
              <w:rPr>
                <w:rFonts w:hint="default"/>
                <w:lang w:val="en-US" w:eastAsia="zh-CN"/>
              </w:rPr>
            </w:pPr>
            <w:r>
              <w:rPr>
                <w:rFonts w:hint="eastAsia" w:ascii="宋体" w:hAnsi="宋体" w:eastAsia="宋体" w:cs="宋体"/>
                <w:color w:val="auto"/>
                <w:szCs w:val="21"/>
                <w:highlight w:val="none"/>
                <w:lang w:val="en-US" w:eastAsia="zh-CN"/>
              </w:rPr>
              <w:t>5.未提供相关内容阐述的，不得分。</w:t>
            </w:r>
          </w:p>
        </w:tc>
      </w:tr>
    </w:tbl>
    <w:p w14:paraId="7568A1F1">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eastAsia="zh-CN"/>
        </w:rPr>
        <w:t>、</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将不承担</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供应商准备响应文件和递交响应文件以及参加本次</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活动所发生的任何成本或费用。</w:t>
      </w:r>
    </w:p>
    <w:p w14:paraId="43C3739E">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十</w:t>
      </w: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、联系</w:t>
      </w:r>
      <w:r>
        <w:rPr>
          <w:rFonts w:hint="eastAsia" w:ascii="宋体" w:hAnsi="宋体" w:eastAsia="宋体" w:cs="宋体"/>
          <w:b/>
          <w:bCs/>
          <w:color w:val="auto"/>
          <w:sz w:val="21"/>
          <w:szCs w:val="21"/>
          <w:highlight w:val="none"/>
          <w:lang w:eastAsia="zh-CN"/>
        </w:rPr>
        <w:t>信息</w:t>
      </w:r>
    </w:p>
    <w:p w14:paraId="1F80066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sz w:val="21"/>
          <w:szCs w:val="21"/>
          <w:lang w:val="en-US"/>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一</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采购人基本信息</w:t>
      </w:r>
    </w:p>
    <w:p w14:paraId="435A6D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名称：</w:t>
      </w:r>
      <w:r>
        <w:rPr>
          <w:rFonts w:hint="eastAsia" w:ascii="宋体" w:hAnsi="宋体" w:eastAsia="宋体" w:cs="宋体"/>
          <w:color w:val="000000"/>
          <w:sz w:val="21"/>
          <w:szCs w:val="21"/>
          <w:lang w:eastAsia="zh-CN"/>
        </w:rPr>
        <w:t>中山市板芙医院</w:t>
      </w:r>
    </w:p>
    <w:p w14:paraId="33B9F8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地址：</w:t>
      </w:r>
      <w:r>
        <w:rPr>
          <w:rFonts w:hint="eastAsia" w:ascii="宋体" w:hAnsi="宋体" w:eastAsia="宋体" w:cs="宋体"/>
          <w:color w:val="000000"/>
          <w:sz w:val="21"/>
          <w:szCs w:val="21"/>
          <w:lang w:eastAsia="zh-CN"/>
        </w:rPr>
        <w:t>中山市板芙镇芙中路</w:t>
      </w:r>
      <w:r>
        <w:rPr>
          <w:rFonts w:hint="eastAsia" w:ascii="宋体" w:hAnsi="宋体" w:eastAsia="宋体" w:cs="宋体"/>
          <w:color w:val="000000"/>
          <w:sz w:val="21"/>
          <w:szCs w:val="21"/>
          <w:lang w:val="en-US" w:eastAsia="zh-CN"/>
        </w:rPr>
        <w:t>1号</w:t>
      </w:r>
    </w:p>
    <w:p w14:paraId="7F1F65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联系</w:t>
      </w:r>
      <w:r>
        <w:rPr>
          <w:rFonts w:hint="eastAsia" w:ascii="宋体" w:hAnsi="宋体" w:eastAsia="宋体" w:cs="宋体"/>
          <w:color w:val="000000"/>
          <w:sz w:val="21"/>
          <w:szCs w:val="21"/>
          <w:lang w:eastAsia="zh-CN"/>
        </w:rPr>
        <w:t>人</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招采办杨小姐</w:t>
      </w:r>
    </w:p>
    <w:p w14:paraId="310890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联系电话：</w:t>
      </w:r>
      <w:r>
        <w:rPr>
          <w:rFonts w:hint="eastAsia" w:ascii="宋体" w:hAnsi="宋体" w:eastAsia="宋体" w:cs="宋体"/>
          <w:color w:val="000000"/>
          <w:sz w:val="21"/>
          <w:szCs w:val="21"/>
          <w:lang w:val="en-US" w:eastAsia="zh-CN"/>
        </w:rPr>
        <w:t>0760-2821866</w:t>
      </w:r>
      <w:r>
        <w:rPr>
          <w:rFonts w:hint="eastAsia" w:ascii="宋体" w:hAnsi="宋体" w:cs="宋体"/>
          <w:color w:val="000000"/>
          <w:sz w:val="21"/>
          <w:szCs w:val="21"/>
          <w:lang w:val="en-US" w:eastAsia="zh-CN"/>
        </w:rPr>
        <w:t>2</w:t>
      </w:r>
    </w:p>
    <w:p w14:paraId="6E944E2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二</w:t>
      </w:r>
      <w:r>
        <w:rPr>
          <w:rFonts w:hint="eastAsia" w:ascii="宋体" w:hAnsi="宋体" w:cs="宋体"/>
          <w:color w:val="000000"/>
          <w:sz w:val="21"/>
          <w:szCs w:val="21"/>
          <w:lang w:eastAsia="zh-CN"/>
        </w:rPr>
        <w:t>）</w:t>
      </w:r>
      <w:r>
        <w:rPr>
          <w:rFonts w:hint="eastAsia" w:ascii="宋体" w:hAnsi="宋体" w:eastAsia="宋体" w:cs="宋体"/>
          <w:color w:val="000000"/>
          <w:sz w:val="21"/>
          <w:szCs w:val="21"/>
        </w:rPr>
        <w:t>监督投诉</w:t>
      </w:r>
    </w:p>
    <w:p w14:paraId="0B7A107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名称：纪检</w:t>
      </w:r>
      <w:r>
        <w:rPr>
          <w:rFonts w:hint="eastAsia" w:ascii="宋体" w:hAnsi="宋体" w:cs="宋体"/>
          <w:color w:val="000000"/>
          <w:sz w:val="21"/>
          <w:szCs w:val="21"/>
          <w:lang w:val="en-US" w:eastAsia="zh-CN"/>
        </w:rPr>
        <w:t>室</w:t>
      </w:r>
    </w:p>
    <w:p w14:paraId="755AAE02">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w:t>
      </w:r>
      <w:r>
        <w:rPr>
          <w:rFonts w:hint="eastAsia" w:ascii="宋体" w:hAnsi="宋体" w:eastAsia="宋体" w:cs="宋体"/>
          <w:color w:val="000000"/>
          <w:sz w:val="21"/>
          <w:szCs w:val="21"/>
        </w:rPr>
        <w:t>电话：</w:t>
      </w:r>
      <w:r>
        <w:rPr>
          <w:rFonts w:hint="eastAsia" w:ascii="宋体" w:hAnsi="宋体" w:eastAsia="宋体" w:cs="宋体"/>
          <w:color w:val="000000"/>
          <w:sz w:val="21"/>
          <w:szCs w:val="21"/>
          <w:lang w:val="en-US" w:eastAsia="zh-CN"/>
        </w:rPr>
        <w:t>0760-282186</w:t>
      </w:r>
      <w:r>
        <w:rPr>
          <w:rFonts w:hint="eastAsia" w:ascii="宋体" w:hAnsi="宋体" w:cs="宋体"/>
          <w:color w:val="000000"/>
          <w:sz w:val="21"/>
          <w:szCs w:val="21"/>
          <w:lang w:val="en-US" w:eastAsia="zh-CN"/>
        </w:rPr>
        <w:t>59</w:t>
      </w:r>
    </w:p>
    <w:p w14:paraId="6D4EBE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如对本公告内容有异议，请在参选文件递交截止时间之前以书面方式提出，逾期不予受理。</w:t>
      </w:r>
    </w:p>
    <w:p w14:paraId="5905438D">
      <w:pPr>
        <w:keepNext w:val="0"/>
        <w:keepLines w:val="0"/>
        <w:pageBreakBefore w:val="0"/>
        <w:kinsoku/>
        <w:wordWrap/>
        <w:overflowPunct/>
        <w:topLinePunct w:val="0"/>
        <w:bidi w:val="0"/>
        <w:spacing w:line="360" w:lineRule="exact"/>
        <w:ind w:left="0" w:leftChars="0" w:firstLine="420" w:firstLineChars="200"/>
        <w:jc w:val="both"/>
        <w:rPr>
          <w:rFonts w:hint="default" w:ascii="宋体" w:hAnsi="宋体" w:cs="宋体"/>
          <w:b w:val="0"/>
          <w:bCs/>
          <w:color w:val="auto"/>
          <w:sz w:val="21"/>
          <w:szCs w:val="21"/>
          <w:highlight w:val="none"/>
          <w:lang w:val="en-US" w:eastAsia="zh-CN"/>
        </w:rPr>
      </w:pPr>
    </w:p>
    <w:p w14:paraId="6EE192EC">
      <w:pPr>
        <w:keepNext w:val="0"/>
        <w:keepLines w:val="0"/>
        <w:pageBreakBefore w:val="0"/>
        <w:kinsoku/>
        <w:overflowPunct/>
        <w:topLinePunct w:val="0"/>
        <w:bidi w:val="0"/>
        <w:spacing w:line="360" w:lineRule="exact"/>
        <w:rPr>
          <w:rFonts w:hint="eastAsia" w:ascii="宋体" w:hAnsi="宋体" w:eastAsia="宋体" w:cs="宋体"/>
          <w:sz w:val="21"/>
          <w:szCs w:val="21"/>
        </w:rPr>
      </w:pPr>
    </w:p>
    <w:p w14:paraId="70C575D8">
      <w:pPr>
        <w:keepNext w:val="0"/>
        <w:keepLines w:val="0"/>
        <w:pageBreakBefore w:val="0"/>
        <w:kinsoku/>
        <w:overflowPunct/>
        <w:topLinePunct w:val="0"/>
        <w:bidi w:val="0"/>
        <w:spacing w:line="360" w:lineRule="exact"/>
        <w:rPr>
          <w:rFonts w:hint="eastAsia" w:ascii="宋体" w:hAnsi="宋体" w:eastAsia="宋体" w:cs="宋体"/>
          <w:sz w:val="21"/>
          <w:szCs w:val="21"/>
        </w:rPr>
      </w:pPr>
    </w:p>
    <w:p w14:paraId="199496C4">
      <w:pPr>
        <w:keepNext w:val="0"/>
        <w:keepLines w:val="0"/>
        <w:pageBreakBefore w:val="0"/>
        <w:kinsoku/>
        <w:overflowPunct/>
        <w:topLinePunct w:val="0"/>
        <w:bidi w:val="0"/>
        <w:spacing w:line="360" w:lineRule="exact"/>
        <w:rPr>
          <w:rFonts w:hint="eastAsia" w:ascii="宋体" w:hAnsi="宋体" w:eastAsia="宋体" w:cs="宋体"/>
          <w:sz w:val="21"/>
          <w:szCs w:val="21"/>
        </w:rPr>
      </w:pPr>
    </w:p>
    <w:p w14:paraId="5E1B42E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45D24521">
      <w:pPr>
        <w:keepNext w:val="0"/>
        <w:keepLines w:val="0"/>
        <w:pageBreakBefore w:val="0"/>
        <w:kinsoku/>
        <w:overflowPunct/>
        <w:topLinePunct w:val="0"/>
        <w:bidi w:val="0"/>
        <w:spacing w:line="360" w:lineRule="exact"/>
        <w:rPr>
          <w:rFonts w:hint="eastAsia" w:ascii="宋体" w:hAnsi="宋体" w:eastAsia="宋体" w:cs="宋体"/>
          <w:sz w:val="21"/>
          <w:szCs w:val="21"/>
        </w:rPr>
      </w:pPr>
    </w:p>
    <w:p w14:paraId="03D17AC0">
      <w:pPr>
        <w:keepNext w:val="0"/>
        <w:keepLines w:val="0"/>
        <w:pageBreakBefore w:val="0"/>
        <w:kinsoku/>
        <w:overflowPunct/>
        <w:topLinePunct w:val="0"/>
        <w:bidi w:val="0"/>
        <w:spacing w:line="360" w:lineRule="exact"/>
        <w:rPr>
          <w:rFonts w:hint="eastAsia" w:ascii="宋体" w:hAnsi="宋体" w:eastAsia="宋体" w:cs="宋体"/>
          <w:sz w:val="21"/>
          <w:szCs w:val="21"/>
        </w:rPr>
      </w:pPr>
    </w:p>
    <w:p w14:paraId="0E66E66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30661C8B">
      <w:pPr>
        <w:keepNext w:val="0"/>
        <w:keepLines w:val="0"/>
        <w:pageBreakBefore w:val="0"/>
        <w:kinsoku/>
        <w:overflowPunct/>
        <w:topLinePunct w:val="0"/>
        <w:bidi w:val="0"/>
        <w:spacing w:line="360" w:lineRule="exact"/>
        <w:rPr>
          <w:rFonts w:hint="eastAsia" w:ascii="宋体" w:hAnsi="宋体" w:eastAsia="宋体" w:cs="宋体"/>
          <w:sz w:val="21"/>
          <w:szCs w:val="21"/>
        </w:rPr>
      </w:pPr>
    </w:p>
    <w:sectPr>
      <w:headerReference r:id="rId3" w:type="default"/>
      <w:footerReference r:id="rId4"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5C4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B6D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5D304"/>
    <w:multiLevelType w:val="singleLevel"/>
    <w:tmpl w:val="C365D304"/>
    <w:lvl w:ilvl="0" w:tentative="0">
      <w:start w:val="1"/>
      <w:numFmt w:val="chineseCounting"/>
      <w:suff w:val="nothing"/>
      <w:lvlText w:val="（%1）"/>
      <w:lvlJc w:val="left"/>
      <w:pPr>
        <w:ind w:left="0" w:firstLine="420"/>
      </w:pPr>
      <w:rPr>
        <w:rFonts w:hint="eastAsia"/>
      </w:rPr>
    </w:lvl>
  </w:abstractNum>
  <w:abstractNum w:abstractNumId="1">
    <w:nsid w:val="25AC67AC"/>
    <w:multiLevelType w:val="singleLevel"/>
    <w:tmpl w:val="25AC67A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NTNhM2Y5OTY0OTJhYTI5NDdhNDQzYjZhODJkNTQifQ=="/>
  </w:docVars>
  <w:rsids>
    <w:rsidRoot w:val="00C87466"/>
    <w:rsid w:val="000A58CD"/>
    <w:rsid w:val="003E5403"/>
    <w:rsid w:val="00544619"/>
    <w:rsid w:val="00C87466"/>
    <w:rsid w:val="0120118E"/>
    <w:rsid w:val="013C7F41"/>
    <w:rsid w:val="01B93CB3"/>
    <w:rsid w:val="020A5FE5"/>
    <w:rsid w:val="02AD51D0"/>
    <w:rsid w:val="074F28CD"/>
    <w:rsid w:val="075A0C9C"/>
    <w:rsid w:val="075D0E74"/>
    <w:rsid w:val="07742E26"/>
    <w:rsid w:val="088C3CD7"/>
    <w:rsid w:val="08923866"/>
    <w:rsid w:val="08B42162"/>
    <w:rsid w:val="0A552405"/>
    <w:rsid w:val="0B105E8F"/>
    <w:rsid w:val="0B425501"/>
    <w:rsid w:val="0B5A71A0"/>
    <w:rsid w:val="0BAE12C3"/>
    <w:rsid w:val="0DCC347C"/>
    <w:rsid w:val="0F411E6B"/>
    <w:rsid w:val="0F843B2A"/>
    <w:rsid w:val="10FD2C30"/>
    <w:rsid w:val="116F2052"/>
    <w:rsid w:val="11F2677F"/>
    <w:rsid w:val="120A5047"/>
    <w:rsid w:val="12224FE4"/>
    <w:rsid w:val="13196D2B"/>
    <w:rsid w:val="15A47E31"/>
    <w:rsid w:val="16AF68E3"/>
    <w:rsid w:val="17AD667F"/>
    <w:rsid w:val="18F37183"/>
    <w:rsid w:val="19447D23"/>
    <w:rsid w:val="19C23FFF"/>
    <w:rsid w:val="1B52693D"/>
    <w:rsid w:val="1C1F77F3"/>
    <w:rsid w:val="1CA3450A"/>
    <w:rsid w:val="1D1A254A"/>
    <w:rsid w:val="1DAB3FD6"/>
    <w:rsid w:val="20FF1B2F"/>
    <w:rsid w:val="21316930"/>
    <w:rsid w:val="219C3D3D"/>
    <w:rsid w:val="21E441D2"/>
    <w:rsid w:val="241A2687"/>
    <w:rsid w:val="243F400F"/>
    <w:rsid w:val="253202CD"/>
    <w:rsid w:val="26FF2618"/>
    <w:rsid w:val="282652CF"/>
    <w:rsid w:val="2A524C38"/>
    <w:rsid w:val="2E6A0991"/>
    <w:rsid w:val="318A2084"/>
    <w:rsid w:val="32301FF4"/>
    <w:rsid w:val="32862630"/>
    <w:rsid w:val="33AD6EE0"/>
    <w:rsid w:val="34D81478"/>
    <w:rsid w:val="3A822C5D"/>
    <w:rsid w:val="3AEB754D"/>
    <w:rsid w:val="3DD70A23"/>
    <w:rsid w:val="410F24F8"/>
    <w:rsid w:val="41B868E9"/>
    <w:rsid w:val="462201BD"/>
    <w:rsid w:val="4667066F"/>
    <w:rsid w:val="47460F19"/>
    <w:rsid w:val="488A14A0"/>
    <w:rsid w:val="48B14A50"/>
    <w:rsid w:val="49326564"/>
    <w:rsid w:val="4ACD0CF8"/>
    <w:rsid w:val="4AE91161"/>
    <w:rsid w:val="4F183C27"/>
    <w:rsid w:val="4FA2515B"/>
    <w:rsid w:val="51DA0BDC"/>
    <w:rsid w:val="51DE39B0"/>
    <w:rsid w:val="522F7C05"/>
    <w:rsid w:val="52A659E9"/>
    <w:rsid w:val="52D05187"/>
    <w:rsid w:val="53BE1870"/>
    <w:rsid w:val="540C3F99"/>
    <w:rsid w:val="557E41CD"/>
    <w:rsid w:val="560857B6"/>
    <w:rsid w:val="570F19E0"/>
    <w:rsid w:val="57A26C6F"/>
    <w:rsid w:val="57A47613"/>
    <w:rsid w:val="5966506E"/>
    <w:rsid w:val="59761BA9"/>
    <w:rsid w:val="5B8247AD"/>
    <w:rsid w:val="5DDA7107"/>
    <w:rsid w:val="5E3A6528"/>
    <w:rsid w:val="5E4647B1"/>
    <w:rsid w:val="5FA04E1F"/>
    <w:rsid w:val="5FC6594D"/>
    <w:rsid w:val="62503D99"/>
    <w:rsid w:val="631B1778"/>
    <w:rsid w:val="642705C1"/>
    <w:rsid w:val="64313601"/>
    <w:rsid w:val="65933B9B"/>
    <w:rsid w:val="674D5AB6"/>
    <w:rsid w:val="676D3727"/>
    <w:rsid w:val="67CF408D"/>
    <w:rsid w:val="69D1193E"/>
    <w:rsid w:val="6AD80A32"/>
    <w:rsid w:val="6B8E7F8D"/>
    <w:rsid w:val="70C54A6B"/>
    <w:rsid w:val="71465789"/>
    <w:rsid w:val="71B92164"/>
    <w:rsid w:val="721D6DAF"/>
    <w:rsid w:val="728C5C5D"/>
    <w:rsid w:val="73314E5B"/>
    <w:rsid w:val="74C9421C"/>
    <w:rsid w:val="760A3CB4"/>
    <w:rsid w:val="795559D4"/>
    <w:rsid w:val="7E540BF3"/>
    <w:rsid w:val="7E5F029D"/>
    <w:rsid w:val="7E79197D"/>
    <w:rsid w:val="7EFE1AFE"/>
    <w:rsid w:val="7F552522"/>
    <w:rsid w:val="7F6B0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qFormat/>
    <w:uiPriority w:val="0"/>
    <w:pPr>
      <w:keepNext/>
      <w:keepLines/>
      <w:widowControl w:val="0"/>
      <w:tabs>
        <w:tab w:val="left" w:pos="840"/>
      </w:tabs>
      <w:adjustRightInd w:val="0"/>
      <w:snapToGrid w:val="0"/>
      <w:spacing w:before="240" w:line="300" w:lineRule="auto"/>
      <w:jc w:val="center"/>
      <w:outlineLvl w:val="0"/>
    </w:pPr>
    <w:rPr>
      <w:rFonts w:ascii="宋体" w:hAnsi="宋体"/>
      <w:kern w:val="44"/>
      <w:sz w:val="36"/>
      <w:szCs w:val="36"/>
    </w:rPr>
  </w:style>
  <w:style w:type="paragraph" w:styleId="4">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jc w:val="both"/>
    </w:pPr>
    <w:rPr>
      <w:kern w:val="2"/>
      <w:sz w:val="28"/>
    </w:rPr>
  </w:style>
  <w:style w:type="paragraph" w:styleId="5">
    <w:name w:val="Normal Indent"/>
    <w:basedOn w:val="1"/>
    <w:qFormat/>
    <w:uiPriority w:val="0"/>
    <w:pPr>
      <w:ind w:firstLine="420" w:firstLineChars="200"/>
    </w:pPr>
  </w:style>
  <w:style w:type="paragraph" w:styleId="6">
    <w:name w:val="toa heading"/>
    <w:basedOn w:val="1"/>
    <w:next w:val="1"/>
    <w:qFormat/>
    <w:uiPriority w:val="0"/>
    <w:pPr>
      <w:spacing w:before="120" w:beforeLines="0" w:beforeAutospacing="0"/>
    </w:pPr>
    <w:rPr>
      <w:rFonts w:ascii="Arial" w:hAnsi="Arial"/>
      <w:sz w:val="24"/>
    </w:rPr>
  </w:style>
  <w:style w:type="paragraph" w:styleId="7">
    <w:name w:val="annotation text"/>
    <w:basedOn w:val="1"/>
    <w:qFormat/>
    <w:uiPriority w:val="0"/>
    <w:pPr>
      <w:jc w:val="left"/>
    </w:pPr>
  </w:style>
  <w:style w:type="paragraph" w:styleId="8">
    <w:name w:val="List 2"/>
    <w:basedOn w:val="1"/>
    <w:qFormat/>
    <w:uiPriority w:val="0"/>
    <w:pPr>
      <w:ind w:left="100" w:leftChars="200" w:hanging="200" w:hangingChars="200"/>
    </w:pPr>
  </w:style>
  <w:style w:type="paragraph" w:styleId="9">
    <w:name w:val="toc 5"/>
    <w:basedOn w:val="1"/>
    <w:next w:val="1"/>
    <w:qFormat/>
    <w:uiPriority w:val="39"/>
    <w:pPr>
      <w:widowControl w:val="0"/>
      <w:ind w:left="1680"/>
      <w:jc w:val="both"/>
    </w:pPr>
    <w:rPr>
      <w:kern w:val="2"/>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index 1"/>
    <w:basedOn w:val="1"/>
    <w:next w:val="1"/>
    <w:unhideWhenUsed/>
    <w:qFormat/>
    <w:uiPriority w:val="0"/>
  </w:style>
  <w:style w:type="paragraph" w:styleId="14">
    <w:name w:val="Title"/>
    <w:basedOn w:val="8"/>
    <w:next w:val="1"/>
    <w:qFormat/>
    <w:uiPriority w:val="0"/>
    <w:pPr>
      <w:widowControl w:val="0"/>
      <w:spacing w:before="240" w:after="60"/>
      <w:jc w:val="center"/>
      <w:outlineLvl w:val="0"/>
    </w:pPr>
    <w:rPr>
      <w:rFonts w:ascii="Cambria" w:hAnsi="Cambria"/>
      <w:b/>
      <w:bCs/>
      <w:kern w:val="2"/>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正文首行缩进1"/>
    <w:basedOn w:val="2"/>
    <w:qFormat/>
    <w:uiPriority w:val="2457"/>
    <w:pPr>
      <w:spacing w:before="0" w:after="120" w:line="240" w:lineRule="auto"/>
      <w:ind w:left="0" w:right="0" w:firstLine="100"/>
    </w:pPr>
    <w:rPr>
      <w:szCs w:val="24"/>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Table Text"/>
    <w:basedOn w:val="1"/>
    <w:semiHidden/>
    <w:qFormat/>
    <w:uiPriority w:val="0"/>
    <w:rPr>
      <w:rFonts w:ascii="仿宋" w:hAnsi="仿宋" w:eastAsia="仿宋" w:cs="仿宋"/>
      <w:sz w:val="28"/>
      <w:szCs w:val="28"/>
      <w:lang w:val="en-US" w:eastAsia="en-US" w:bidi="ar-SA"/>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3428</Words>
  <Characters>3708</Characters>
  <Lines>0</Lines>
  <Paragraphs>0</Paragraphs>
  <TotalTime>11</TotalTime>
  <ScaleCrop>false</ScaleCrop>
  <LinksUpToDate>false</LinksUpToDate>
  <CharactersWithSpaces>3722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2023-11-10T09:42:00Z</dcterms:created>
  <dc:creator>秋秋秋秋</dc:creator>
  <cp:lastModifiedBy>мìττý</cp:lastModifiedBy>
  <cp:lastPrinted>2025-08-25T09:00:00Z</cp:lastPrinted>
  <dcterms:modified xsi:type="dcterms:W3CDTF">2025-12-03T03:56:11Z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09ECCB05D3B74FB9857E198F7286EE9B_13</vt:lpwstr>
  </property>
  <property fmtid="{D5CDD505-2E9C-101B-9397-08002B2CF9AE}" pid="4" name="KSOTemplateDocerSaveRecord">
    <vt:lpwstr>eyJoZGlkIjoiNmM3OTI1NDk3M2U1M2M4YzY1ZjFmOTc5ZWE5MzZiYzUiLCJ1c2VySWQiOiIzMzc0NDkxODMifQ==</vt:lpwstr>
  </property>
</Properties>
</file>