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A6E3C">
      <w:pPr>
        <w:snapToGrid w:val="0"/>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bookmarkStart w:id="0" w:name="_GoBack"/>
      <w:bookmarkEnd w:id="0"/>
    </w:p>
    <w:p w14:paraId="1A95A884">
      <w:pPr>
        <w:snapToGrid w:val="0"/>
        <w:spacing w:line="520" w:lineRule="exact"/>
        <w:jc w:val="both"/>
        <w:rPr>
          <w:rFonts w:hint="default" w:ascii="创艺简标宋" w:hAnsi="CESI仿宋-GB2312" w:eastAsia="创艺简标宋" w:cs="CESI仿宋-GB2312"/>
          <w:sz w:val="44"/>
          <w:szCs w:val="44"/>
          <w:lang w:val="en-US" w:eastAsia="zh-CN"/>
        </w:rPr>
      </w:pPr>
    </w:p>
    <w:p w14:paraId="089018F9">
      <w:pPr>
        <w:snapToGrid w:val="0"/>
        <w:spacing w:line="520" w:lineRule="exact"/>
        <w:jc w:val="center"/>
        <w:rPr>
          <w:rFonts w:ascii="创艺简标宋" w:hAnsi="CESI仿宋-GB2312" w:eastAsia="创艺简标宋" w:cs="CESI仿宋-GB2312"/>
          <w:sz w:val="44"/>
          <w:szCs w:val="44"/>
        </w:rPr>
      </w:pPr>
      <w:r>
        <w:rPr>
          <w:rFonts w:hint="eastAsia" w:ascii="创艺简标宋" w:hAnsi="CESI仿宋-GB2312" w:eastAsia="创艺简标宋" w:cs="CESI仿宋-GB2312"/>
          <w:sz w:val="44"/>
          <w:szCs w:val="44"/>
        </w:rPr>
        <w:t>中山市中小企业数字化转型城市试点</w:t>
      </w:r>
      <w:r>
        <w:rPr>
          <w:rFonts w:hint="eastAsia" w:ascii="创艺简标宋" w:hAnsi="CESI仿宋-GB2312" w:eastAsia="创艺简标宋" w:cs="CESI仿宋-GB2312"/>
          <w:sz w:val="44"/>
          <w:szCs w:val="44"/>
          <w:lang w:eastAsia="zh-CN"/>
        </w:rPr>
        <w:t>数字化改造项目</w:t>
      </w:r>
      <w:r>
        <w:rPr>
          <w:rFonts w:hint="eastAsia" w:ascii="创艺简标宋" w:hAnsi="CESI仿宋-GB2312" w:eastAsia="创艺简标宋" w:cs="CESI仿宋-GB2312"/>
          <w:sz w:val="44"/>
          <w:szCs w:val="44"/>
        </w:rPr>
        <w:t>专项资金监管协议</w:t>
      </w:r>
    </w:p>
    <w:p w14:paraId="76D4F70A">
      <w:pPr>
        <w:snapToGrid w:val="0"/>
        <w:spacing w:line="520" w:lineRule="exact"/>
        <w:rPr>
          <w:rFonts w:ascii="CESI仿宋-GB2312" w:hAnsi="CESI仿宋-GB2312" w:eastAsia="CESI仿宋-GB2312" w:cs="CESI仿宋-GB2312"/>
          <w:b/>
        </w:rPr>
      </w:pPr>
      <w:r>
        <w:rPr>
          <w:rFonts w:hint="eastAsia" w:ascii="CESI仿宋-GB2312" w:hAnsi="CESI仿宋-GB2312" w:eastAsia="CESI仿宋-GB2312" w:cs="CESI仿宋-GB2312"/>
        </w:rPr>
        <w:t xml:space="preserve">                          </w:t>
      </w:r>
      <w:r>
        <w:rPr>
          <w:rFonts w:hint="eastAsia" w:ascii="CESI仿宋-GB2312" w:hAnsi="CESI仿宋-GB2312" w:eastAsia="CESI仿宋-GB2312" w:cs="CESI仿宋-GB2312"/>
          <w:b/>
        </w:rPr>
        <w:t>协议编号：</w:t>
      </w:r>
    </w:p>
    <w:p w14:paraId="0B88FB8D">
      <w:pPr>
        <w:snapToGrid w:val="0"/>
        <w:spacing w:line="520" w:lineRule="exact"/>
        <w:rPr>
          <w:rFonts w:hAnsi="CESI仿宋-GB2312" w:cs="CESI仿宋-GB2312"/>
        </w:rPr>
      </w:pPr>
    </w:p>
    <w:p w14:paraId="0D5FC143">
      <w:pPr>
        <w:snapToGrid w:val="0"/>
        <w:spacing w:line="520" w:lineRule="exact"/>
        <w:rPr>
          <w:rFonts w:hAnsi="CESI仿宋-GB2312" w:cs="CESI仿宋-GB2312"/>
        </w:rPr>
      </w:pPr>
      <w:r>
        <w:rPr>
          <w:rFonts w:hint="eastAsia" w:hAnsi="CESI仿宋-GB2312" w:cs="CESI仿宋-GB2312"/>
        </w:rPr>
        <w:t xml:space="preserve">甲方： </w:t>
      </w:r>
    </w:p>
    <w:p w14:paraId="584D2A1B">
      <w:pPr>
        <w:snapToGrid w:val="0"/>
        <w:spacing w:line="520" w:lineRule="exact"/>
        <w:rPr>
          <w:rFonts w:hAnsi="CESI仿宋-GB2312" w:cs="CESI仿宋-GB2312"/>
        </w:rPr>
      </w:pPr>
      <w:r>
        <w:rPr>
          <w:rFonts w:hint="eastAsia" w:hAnsi="CESI仿宋-GB2312" w:cs="CESI仿宋-GB2312"/>
        </w:rPr>
        <w:t xml:space="preserve">法定代表人： </w:t>
      </w:r>
    </w:p>
    <w:p w14:paraId="611C72EC">
      <w:pPr>
        <w:snapToGrid w:val="0"/>
        <w:spacing w:line="520" w:lineRule="exact"/>
        <w:rPr>
          <w:rFonts w:hAnsi="CESI仿宋-GB2312" w:cs="CESI仿宋-GB2312"/>
        </w:rPr>
      </w:pPr>
      <w:r>
        <w:rPr>
          <w:rFonts w:hint="eastAsia" w:hAnsi="CESI仿宋-GB2312" w:cs="CESI仿宋-GB2312"/>
        </w:rPr>
        <w:t xml:space="preserve">地址： </w:t>
      </w:r>
    </w:p>
    <w:p w14:paraId="69BD7130">
      <w:pPr>
        <w:snapToGrid w:val="0"/>
        <w:spacing w:line="520" w:lineRule="exact"/>
        <w:rPr>
          <w:rFonts w:hAnsi="CESI仿宋-GB2312" w:cs="CESI仿宋-GB2312"/>
        </w:rPr>
      </w:pPr>
      <w:r>
        <w:rPr>
          <w:rFonts w:hint="eastAsia" w:hAnsi="CESI仿宋-GB2312" w:cs="CESI仿宋-GB2312"/>
        </w:rPr>
        <w:t>电话：</w:t>
      </w:r>
    </w:p>
    <w:p w14:paraId="47097C1D">
      <w:pPr>
        <w:snapToGrid w:val="0"/>
        <w:spacing w:line="520" w:lineRule="exact"/>
        <w:rPr>
          <w:rFonts w:hAnsi="CESI仿宋-GB2312" w:cs="CESI仿宋-GB2312"/>
        </w:rPr>
      </w:pPr>
    </w:p>
    <w:p w14:paraId="6F645577">
      <w:pPr>
        <w:snapToGrid w:val="0"/>
        <w:spacing w:line="520" w:lineRule="exact"/>
        <w:rPr>
          <w:rFonts w:hAnsi="CESI仿宋-GB2312" w:cs="CESI仿宋-GB2312"/>
        </w:rPr>
      </w:pPr>
    </w:p>
    <w:p w14:paraId="3A29B57B">
      <w:pPr>
        <w:snapToGrid w:val="0"/>
        <w:spacing w:line="520" w:lineRule="exact"/>
        <w:rPr>
          <w:rFonts w:hAnsi="CESI仿宋-GB2312" w:cs="CESI仿宋-GB2312"/>
        </w:rPr>
      </w:pPr>
    </w:p>
    <w:p w14:paraId="6E84E6AB">
      <w:pPr>
        <w:snapToGrid w:val="0"/>
        <w:spacing w:line="520" w:lineRule="exact"/>
        <w:rPr>
          <w:rFonts w:hAnsi="CESI仿宋-GB2312" w:cs="CESI仿宋-GB2312"/>
        </w:rPr>
      </w:pPr>
    </w:p>
    <w:p w14:paraId="779118E1">
      <w:pPr>
        <w:snapToGrid w:val="0"/>
        <w:spacing w:line="520" w:lineRule="exact"/>
        <w:rPr>
          <w:rFonts w:hAnsi="CESI仿宋-GB2312" w:cs="CESI仿宋-GB2312"/>
        </w:rPr>
      </w:pPr>
    </w:p>
    <w:p w14:paraId="458962C2">
      <w:pPr>
        <w:snapToGrid w:val="0"/>
        <w:spacing w:line="520" w:lineRule="exact"/>
        <w:rPr>
          <w:rFonts w:hAnsi="CESI仿宋-GB2312" w:cs="CESI仿宋-GB2312"/>
        </w:rPr>
      </w:pPr>
    </w:p>
    <w:p w14:paraId="3EF7A997">
      <w:pPr>
        <w:snapToGrid w:val="0"/>
        <w:spacing w:line="520" w:lineRule="exact"/>
        <w:rPr>
          <w:rFonts w:hAnsi="CESI仿宋-GB2312" w:cs="CESI仿宋-GB2312"/>
        </w:rPr>
      </w:pPr>
      <w:r>
        <w:rPr>
          <w:rFonts w:hint="eastAsia" w:hAnsi="CESI仿宋-GB2312" w:cs="CESI仿宋-GB2312"/>
        </w:rPr>
        <w:t>乙方（监管银行）：</w:t>
      </w:r>
    </w:p>
    <w:p w14:paraId="5E5C57EE">
      <w:pPr>
        <w:snapToGrid w:val="0"/>
        <w:spacing w:line="520" w:lineRule="exact"/>
        <w:rPr>
          <w:rFonts w:hAnsi="CESI仿宋-GB2312" w:cs="CESI仿宋-GB2312"/>
        </w:rPr>
      </w:pPr>
      <w:r>
        <w:rPr>
          <w:rFonts w:hint="eastAsia" w:hAnsi="CESI仿宋-GB2312" w:cs="CESI仿宋-GB2312"/>
        </w:rPr>
        <w:t xml:space="preserve">法定代表人： </w:t>
      </w:r>
    </w:p>
    <w:p w14:paraId="69669FCF">
      <w:pPr>
        <w:snapToGrid w:val="0"/>
        <w:spacing w:line="520" w:lineRule="exact"/>
        <w:rPr>
          <w:rFonts w:hAnsi="CESI仿宋-GB2312" w:cs="CESI仿宋-GB2312"/>
        </w:rPr>
      </w:pPr>
      <w:r>
        <w:rPr>
          <w:rFonts w:hint="eastAsia" w:hAnsi="CESI仿宋-GB2312" w:cs="CESI仿宋-GB2312"/>
        </w:rPr>
        <w:t xml:space="preserve">地址： </w:t>
      </w:r>
    </w:p>
    <w:p w14:paraId="1F324534">
      <w:pPr>
        <w:snapToGrid w:val="0"/>
        <w:spacing w:line="520" w:lineRule="exact"/>
        <w:rPr>
          <w:rFonts w:hAnsi="CESI仿宋-GB2312" w:cs="CESI仿宋-GB2312"/>
        </w:rPr>
      </w:pPr>
      <w:r>
        <w:rPr>
          <w:rFonts w:hint="eastAsia" w:hAnsi="CESI仿宋-GB2312" w:cs="CESI仿宋-GB2312"/>
        </w:rPr>
        <w:t>电话：</w:t>
      </w:r>
    </w:p>
    <w:p w14:paraId="117EEFB0">
      <w:pPr>
        <w:snapToGrid w:val="0"/>
        <w:spacing w:line="520" w:lineRule="exact"/>
        <w:rPr>
          <w:rFonts w:ascii="CESI仿宋-GB2312" w:hAnsi="CESI仿宋-GB2312" w:eastAsia="CESI仿宋-GB2312" w:cs="CESI仿宋-GB2312"/>
        </w:rPr>
      </w:pPr>
    </w:p>
    <w:p w14:paraId="7D6B5EEF">
      <w:pPr>
        <w:snapToGrid w:val="0"/>
        <w:spacing w:line="520" w:lineRule="exact"/>
        <w:rPr>
          <w:rFonts w:ascii="CESI仿宋-GB2312" w:hAnsi="CESI仿宋-GB2312" w:eastAsia="CESI仿宋-GB2312" w:cs="CESI仿宋-GB2312"/>
        </w:rPr>
      </w:pPr>
    </w:p>
    <w:p w14:paraId="0709D785">
      <w:pPr>
        <w:snapToGrid w:val="0"/>
        <w:spacing w:line="520" w:lineRule="exact"/>
        <w:rPr>
          <w:rFonts w:ascii="CESI仿宋-GB2312" w:hAnsi="CESI仿宋-GB2312" w:eastAsia="CESI仿宋-GB2312" w:cs="CESI仿宋-GB2312"/>
        </w:rPr>
      </w:pPr>
    </w:p>
    <w:p w14:paraId="7DE5DBD4">
      <w:pPr>
        <w:snapToGrid w:val="0"/>
        <w:spacing w:line="520" w:lineRule="exact"/>
        <w:rPr>
          <w:rFonts w:ascii="CESI仿宋-GB2312" w:hAnsi="CESI仿宋-GB2312" w:eastAsia="CESI仿宋-GB2312" w:cs="CESI仿宋-GB2312"/>
        </w:rPr>
      </w:pPr>
    </w:p>
    <w:p w14:paraId="6EE76970">
      <w:pPr>
        <w:snapToGrid w:val="0"/>
        <w:spacing w:line="520" w:lineRule="exact"/>
        <w:rPr>
          <w:rFonts w:ascii="CESI仿宋-GB2312" w:hAnsi="CESI仿宋-GB2312" w:eastAsia="CESI仿宋-GB2312" w:cs="CESI仿宋-GB2312"/>
        </w:rPr>
      </w:pPr>
    </w:p>
    <w:p w14:paraId="607088FD">
      <w:pPr>
        <w:snapToGrid w:val="0"/>
        <w:spacing w:line="520" w:lineRule="exact"/>
        <w:rPr>
          <w:rFonts w:ascii="CESI仿宋-GB2312" w:hAnsi="CESI仿宋-GB2312" w:eastAsia="CESI仿宋-GB2312" w:cs="CESI仿宋-GB2312"/>
        </w:rPr>
      </w:pPr>
    </w:p>
    <w:p w14:paraId="49CC0834">
      <w:pPr>
        <w:snapToGrid w:val="0"/>
        <w:spacing w:line="520" w:lineRule="exact"/>
        <w:rPr>
          <w:rFonts w:ascii="CESI仿宋-GB2312" w:hAnsi="CESI仿宋-GB2312" w:eastAsia="CESI仿宋-GB2312" w:cs="CESI仿宋-GB2312"/>
        </w:rPr>
      </w:pPr>
    </w:p>
    <w:p w14:paraId="5479D1D6">
      <w:pPr>
        <w:snapToGrid w:val="0"/>
        <w:spacing w:line="520" w:lineRule="exact"/>
        <w:rPr>
          <w:rFonts w:ascii="CESI仿宋-GB2312" w:hAnsi="CESI仿宋-GB2312" w:eastAsia="CESI仿宋-GB2312" w:cs="CESI仿宋-GB2312"/>
        </w:rPr>
      </w:pPr>
    </w:p>
    <w:p w14:paraId="4973F891">
      <w:pPr>
        <w:snapToGrid w:val="0"/>
        <w:spacing w:line="520" w:lineRule="exact"/>
        <w:ind w:firstLine="560" w:firstLineChars="200"/>
        <w:rPr>
          <w:sz w:val="28"/>
        </w:rPr>
      </w:pPr>
      <w:r>
        <w:rPr>
          <w:sz w:val="28"/>
        </w:rPr>
        <w:t>依据《中华人民共和国民法典》《中华人民共和国商业银行法》及相关法律法规和政策文件精神，为确保中小企业数字化转型专项资金安全、合规使用，经甲乙双方平等协商，就专项资金监管事宜订立本协议，以资共同信守。</w:t>
      </w:r>
    </w:p>
    <w:p w14:paraId="48C87F8E">
      <w:pPr>
        <w:snapToGrid w:val="0"/>
        <w:spacing w:line="520" w:lineRule="exact"/>
        <w:ind w:firstLine="560" w:firstLineChars="200"/>
        <w:rPr>
          <w:sz w:val="28"/>
        </w:rPr>
      </w:pPr>
    </w:p>
    <w:p w14:paraId="5E6F7407">
      <w:pPr>
        <w:snapToGrid w:val="0"/>
        <w:spacing w:line="520" w:lineRule="exact"/>
        <w:ind w:firstLine="560" w:firstLineChars="200"/>
        <w:jc w:val="center"/>
        <w:rPr>
          <w:rFonts w:ascii="黑体" w:hAnsi="黑体" w:eastAsia="黑体"/>
          <w:sz w:val="28"/>
        </w:rPr>
      </w:pPr>
      <w:r>
        <w:rPr>
          <w:rFonts w:ascii="黑体" w:hAnsi="黑体" w:eastAsia="黑体"/>
          <w:sz w:val="28"/>
        </w:rPr>
        <w:t>第一章 总</w:t>
      </w:r>
      <w:r>
        <w:rPr>
          <w:rFonts w:hint="eastAsia" w:ascii="黑体" w:hAnsi="黑体" w:eastAsia="黑体"/>
          <w:sz w:val="28"/>
        </w:rPr>
        <w:t xml:space="preserve">  </w:t>
      </w:r>
      <w:r>
        <w:rPr>
          <w:rFonts w:ascii="黑体" w:hAnsi="黑体" w:eastAsia="黑体"/>
          <w:sz w:val="28"/>
        </w:rPr>
        <w:t>则</w:t>
      </w:r>
    </w:p>
    <w:p w14:paraId="39EF3C5F">
      <w:pPr>
        <w:snapToGrid w:val="0"/>
        <w:spacing w:line="520" w:lineRule="exact"/>
        <w:ind w:firstLine="562" w:firstLineChars="200"/>
        <w:rPr>
          <w:sz w:val="28"/>
        </w:rPr>
      </w:pPr>
      <w:r>
        <w:rPr>
          <w:b/>
          <w:sz w:val="28"/>
        </w:rPr>
        <w:t>第一条</w:t>
      </w:r>
      <w:r>
        <w:rPr>
          <w:rFonts w:hint="eastAsia"/>
          <w:sz w:val="28"/>
        </w:rPr>
        <w:t xml:space="preserve">  协议目的</w:t>
      </w:r>
    </w:p>
    <w:p w14:paraId="2EDCDF30">
      <w:pPr>
        <w:snapToGrid w:val="0"/>
        <w:spacing w:line="520" w:lineRule="exact"/>
        <w:ind w:firstLine="560" w:firstLineChars="200"/>
        <w:rPr>
          <w:sz w:val="28"/>
        </w:rPr>
      </w:pPr>
      <w:r>
        <w:rPr>
          <w:sz w:val="28"/>
        </w:rPr>
        <w:t>为规范中小企业数字化转型专项资金（以下简称“专项资金”）的管理与使用，保障专项资金专款专用，根据国家</w:t>
      </w:r>
      <w:r>
        <w:rPr>
          <w:rFonts w:hint="eastAsia"/>
          <w:sz w:val="28"/>
        </w:rPr>
        <w:t>、</w:t>
      </w:r>
      <w:r>
        <w:rPr>
          <w:sz w:val="28"/>
        </w:rPr>
        <w:t>广东省及</w:t>
      </w:r>
      <w:r>
        <w:rPr>
          <w:rFonts w:hint="eastAsia"/>
          <w:sz w:val="28"/>
        </w:rPr>
        <w:t>中山市</w:t>
      </w:r>
      <w:r>
        <w:rPr>
          <w:rFonts w:hint="eastAsia"/>
          <w:sz w:val="28"/>
          <w:lang w:eastAsia="zh-CN"/>
        </w:rPr>
        <w:t>工信局</w:t>
      </w:r>
      <w:r>
        <w:rPr>
          <w:sz w:val="28"/>
        </w:rPr>
        <w:t>关于中小企业数字化转型试点城市专项资金管理的有关规定，</w:t>
      </w:r>
      <w:r>
        <w:rPr>
          <w:rFonts w:hint="eastAsia"/>
          <w:sz w:val="28"/>
        </w:rPr>
        <w:t>达成</w:t>
      </w:r>
      <w:r>
        <w:rPr>
          <w:sz w:val="28"/>
        </w:rPr>
        <w:t>以下协议。</w:t>
      </w:r>
    </w:p>
    <w:p w14:paraId="501AE779">
      <w:pPr>
        <w:snapToGrid w:val="0"/>
        <w:spacing w:line="520" w:lineRule="exact"/>
        <w:ind w:firstLine="562" w:firstLineChars="200"/>
        <w:jc w:val="left"/>
        <w:rPr>
          <w:sz w:val="28"/>
        </w:rPr>
      </w:pPr>
      <w:r>
        <w:rPr>
          <w:b/>
          <w:sz w:val="28"/>
        </w:rPr>
        <w:t>第二条</w:t>
      </w:r>
      <w:r>
        <w:rPr>
          <w:rFonts w:hint="eastAsia"/>
          <w:b/>
          <w:sz w:val="28"/>
        </w:rPr>
        <w:t xml:space="preserve"> </w:t>
      </w:r>
      <w:r>
        <w:rPr>
          <w:rFonts w:hint="eastAsia"/>
          <w:sz w:val="28"/>
        </w:rPr>
        <w:t xml:space="preserve"> 专项资金定义</w:t>
      </w:r>
    </w:p>
    <w:p w14:paraId="5651F2C3">
      <w:pPr>
        <w:snapToGrid w:val="0"/>
        <w:spacing w:line="520" w:lineRule="exact"/>
        <w:ind w:firstLine="560" w:firstLineChars="200"/>
        <w:jc w:val="left"/>
        <w:rPr>
          <w:sz w:val="28"/>
        </w:rPr>
      </w:pPr>
      <w:r>
        <w:rPr>
          <w:sz w:val="28"/>
        </w:rPr>
        <w:t>本协议所称专项资金，是指由中山市</w:t>
      </w:r>
      <w:r>
        <w:rPr>
          <w:rFonts w:hint="eastAsia"/>
          <w:sz w:val="28"/>
        </w:rPr>
        <w:t>工业</w:t>
      </w:r>
      <w:r>
        <w:rPr>
          <w:sz w:val="28"/>
        </w:rPr>
        <w:t>和信息化局</w:t>
      </w:r>
      <w:r>
        <w:rPr>
          <w:rFonts w:hint="eastAsia"/>
          <w:sz w:val="28"/>
        </w:rPr>
        <w:t>（</w:t>
      </w:r>
      <w:r>
        <w:rPr>
          <w:sz w:val="28"/>
        </w:rPr>
        <w:t>以下简称</w:t>
      </w:r>
      <w:r>
        <w:rPr>
          <w:rFonts w:hint="eastAsia"/>
          <w:sz w:val="28"/>
        </w:rPr>
        <w:t>“</w:t>
      </w:r>
      <w:r>
        <w:rPr>
          <w:sz w:val="28"/>
        </w:rPr>
        <w:t>市</w:t>
      </w:r>
      <w:r>
        <w:rPr>
          <w:rFonts w:hint="eastAsia"/>
          <w:sz w:val="28"/>
          <w:lang w:eastAsia="zh-CN"/>
        </w:rPr>
        <w:t>工信局</w:t>
      </w:r>
      <w:r>
        <w:rPr>
          <w:rFonts w:hint="eastAsia"/>
          <w:sz w:val="28"/>
        </w:rPr>
        <w:t>”）</w:t>
      </w:r>
      <w:r>
        <w:rPr>
          <w:sz w:val="28"/>
        </w:rPr>
        <w:t>依据乙方项目申报及审核情况</w:t>
      </w:r>
      <w:r>
        <w:rPr>
          <w:rFonts w:hint="eastAsia"/>
          <w:sz w:val="28"/>
        </w:rPr>
        <w:t>，</w:t>
      </w:r>
      <w:r>
        <w:rPr>
          <w:sz w:val="28"/>
        </w:rPr>
        <w:t>预先拨付至本协议项下监管账户的暂收款项</w:t>
      </w:r>
      <w:r>
        <w:rPr>
          <w:rFonts w:hint="eastAsia"/>
          <w:sz w:val="28"/>
        </w:rPr>
        <w:t>。该资金</w:t>
      </w:r>
      <w:r>
        <w:rPr>
          <w:sz w:val="28"/>
        </w:rPr>
        <w:t>专项用于</w:t>
      </w:r>
      <w:r>
        <w:rPr>
          <w:rFonts w:hint="eastAsia"/>
          <w:sz w:val="28"/>
        </w:rPr>
        <w:t>甲方</w:t>
      </w:r>
      <w:r>
        <w:rPr>
          <w:sz w:val="28"/>
        </w:rPr>
        <w:t>获批的数字化改造项目</w:t>
      </w:r>
      <w:r>
        <w:rPr>
          <w:rFonts w:hint="eastAsia"/>
          <w:sz w:val="28"/>
        </w:rPr>
        <w:t>，其</w:t>
      </w:r>
      <w:r>
        <w:rPr>
          <w:sz w:val="28"/>
        </w:rPr>
        <w:t>最终金额须根据项目验收后市</w:t>
      </w:r>
      <w:r>
        <w:rPr>
          <w:rFonts w:hint="eastAsia"/>
          <w:sz w:val="28"/>
          <w:lang w:eastAsia="zh-CN"/>
        </w:rPr>
        <w:t>工信局</w:t>
      </w:r>
      <w:r>
        <w:rPr>
          <w:sz w:val="28"/>
        </w:rPr>
        <w:t>的审定结果进行结算</w:t>
      </w:r>
      <w:r>
        <w:rPr>
          <w:rFonts w:hint="eastAsia"/>
          <w:sz w:val="28"/>
        </w:rPr>
        <w:t>，</w:t>
      </w:r>
      <w:r>
        <w:rPr>
          <w:sz w:val="28"/>
        </w:rPr>
        <w:t>实行</w:t>
      </w:r>
      <w:r>
        <w:rPr>
          <w:rFonts w:hint="eastAsia"/>
          <w:sz w:val="28"/>
        </w:rPr>
        <w:t>“</w:t>
      </w:r>
      <w:r>
        <w:rPr>
          <w:sz w:val="28"/>
        </w:rPr>
        <w:t>多退少补</w:t>
      </w:r>
      <w:r>
        <w:rPr>
          <w:rFonts w:hint="eastAsia"/>
          <w:sz w:val="28"/>
        </w:rPr>
        <w:t>”。</w:t>
      </w:r>
    </w:p>
    <w:p w14:paraId="0F0C0948">
      <w:pPr>
        <w:snapToGrid w:val="0"/>
        <w:spacing w:line="520" w:lineRule="exact"/>
        <w:ind w:firstLine="562" w:firstLineChars="200"/>
        <w:jc w:val="left"/>
        <w:rPr>
          <w:sz w:val="28"/>
        </w:rPr>
      </w:pPr>
      <w:r>
        <w:rPr>
          <w:b/>
          <w:sz w:val="28"/>
        </w:rPr>
        <w:t>第三条</w:t>
      </w:r>
      <w:r>
        <w:rPr>
          <w:rFonts w:hint="eastAsia"/>
          <w:sz w:val="28"/>
        </w:rPr>
        <w:t xml:space="preserve">  监管原则</w:t>
      </w:r>
    </w:p>
    <w:p w14:paraId="23B5EE39">
      <w:pPr>
        <w:snapToGrid w:val="0"/>
        <w:spacing w:line="520" w:lineRule="exact"/>
        <w:ind w:firstLine="560" w:firstLineChars="200"/>
        <w:jc w:val="left"/>
        <w:rPr>
          <w:sz w:val="28"/>
        </w:rPr>
      </w:pPr>
      <w:r>
        <w:rPr>
          <w:rFonts w:hint="eastAsia"/>
          <w:sz w:val="28"/>
        </w:rPr>
        <w:t>专项资金监管遵循“专户存储、支付控制、依令解除、多退少补”的原则。乙方依据本协议、市</w:t>
      </w:r>
      <w:r>
        <w:rPr>
          <w:rFonts w:hint="eastAsia"/>
          <w:sz w:val="28"/>
          <w:lang w:eastAsia="zh-CN"/>
        </w:rPr>
        <w:t>工信局</w:t>
      </w:r>
      <w:r>
        <w:rPr>
          <w:rFonts w:hint="eastAsia"/>
          <w:sz w:val="28"/>
        </w:rPr>
        <w:t>、</w:t>
      </w:r>
      <w:r>
        <w:rPr>
          <w:rFonts w:hint="eastAsia"/>
          <w:sz w:val="28"/>
          <w:lang w:val="en-US" w:eastAsia="zh-CN"/>
        </w:rPr>
        <w:t>市财政局</w:t>
      </w:r>
      <w:r>
        <w:rPr>
          <w:rFonts w:hint="eastAsia"/>
          <w:sz w:val="28"/>
        </w:rPr>
        <w:t>等有权部门出具的有效书面指令，对监管账户内的专项资金进行监督管理，不承担对资金使用的实质性审核责任。</w:t>
      </w:r>
    </w:p>
    <w:p w14:paraId="12435427">
      <w:pPr>
        <w:snapToGrid w:val="0"/>
        <w:spacing w:line="520" w:lineRule="exact"/>
        <w:ind w:firstLine="560" w:firstLineChars="200"/>
        <w:jc w:val="left"/>
        <w:rPr>
          <w:sz w:val="28"/>
        </w:rPr>
      </w:pPr>
    </w:p>
    <w:p w14:paraId="0078838F">
      <w:pPr>
        <w:snapToGrid w:val="0"/>
        <w:spacing w:line="520" w:lineRule="exact"/>
        <w:ind w:firstLine="560" w:firstLineChars="200"/>
        <w:jc w:val="center"/>
        <w:rPr>
          <w:rFonts w:ascii="黑体" w:hAnsi="黑体" w:eastAsia="黑体"/>
          <w:sz w:val="28"/>
        </w:rPr>
      </w:pPr>
      <w:r>
        <w:rPr>
          <w:rFonts w:ascii="黑体" w:hAnsi="黑体" w:eastAsia="黑体"/>
          <w:sz w:val="28"/>
        </w:rPr>
        <w:t>第二章 监管账户的开立与</w:t>
      </w:r>
      <w:r>
        <w:rPr>
          <w:rFonts w:hint="eastAsia" w:ascii="黑体" w:hAnsi="黑体" w:eastAsia="黑体"/>
          <w:sz w:val="28"/>
        </w:rPr>
        <w:t>管理</w:t>
      </w:r>
    </w:p>
    <w:p w14:paraId="7820E6A3">
      <w:pPr>
        <w:snapToGrid w:val="0"/>
        <w:spacing w:line="520" w:lineRule="exact"/>
        <w:ind w:firstLine="562" w:firstLineChars="200"/>
        <w:jc w:val="left"/>
        <w:rPr>
          <w:sz w:val="28"/>
        </w:rPr>
      </w:pPr>
      <w:r>
        <w:rPr>
          <w:b/>
          <w:sz w:val="28"/>
        </w:rPr>
        <w:t>第四条</w:t>
      </w:r>
      <w:r>
        <w:rPr>
          <w:rFonts w:hint="eastAsia"/>
          <w:sz w:val="28"/>
        </w:rPr>
        <w:t xml:space="preserve">  账户开立</w:t>
      </w:r>
    </w:p>
    <w:p w14:paraId="4D8A7D1A">
      <w:pPr>
        <w:snapToGrid w:val="0"/>
        <w:spacing w:line="520" w:lineRule="exact"/>
        <w:ind w:firstLine="560" w:firstLineChars="200"/>
        <w:jc w:val="left"/>
        <w:rPr>
          <w:sz w:val="28"/>
        </w:rPr>
      </w:pPr>
      <w:r>
        <w:rPr>
          <w:rFonts w:hint="eastAsia"/>
          <w:sz w:val="28"/>
        </w:rPr>
        <w:t>（一）乙方依据市</w:t>
      </w:r>
      <w:r>
        <w:rPr>
          <w:rFonts w:hint="eastAsia"/>
          <w:sz w:val="28"/>
          <w:lang w:eastAsia="zh-CN"/>
        </w:rPr>
        <w:t>工信局</w:t>
      </w:r>
      <w:r>
        <w:rPr>
          <w:rFonts w:hint="eastAsia"/>
          <w:sz w:val="28"/>
        </w:rPr>
        <w:t>出具的书面通知，并为甲方开立</w:t>
      </w:r>
      <w:r>
        <w:rPr>
          <w:sz w:val="28"/>
        </w:rPr>
        <w:t>专项资金监管账户</w:t>
      </w:r>
      <w:r>
        <w:rPr>
          <w:rFonts w:hint="eastAsia"/>
          <w:sz w:val="28"/>
        </w:rPr>
        <w:t>（以下简称“监管账户”）</w:t>
      </w:r>
      <w:r>
        <w:rPr>
          <w:sz w:val="28"/>
        </w:rPr>
        <w:t>。</w:t>
      </w:r>
    </w:p>
    <w:p w14:paraId="46B2C558">
      <w:pPr>
        <w:snapToGrid w:val="0"/>
        <w:spacing w:line="520" w:lineRule="exact"/>
        <w:ind w:firstLine="560" w:firstLineChars="200"/>
        <w:jc w:val="left"/>
        <w:rPr>
          <w:sz w:val="28"/>
        </w:rPr>
      </w:pPr>
      <w:r>
        <w:rPr>
          <w:rFonts w:hint="eastAsia"/>
          <w:sz w:val="28"/>
        </w:rPr>
        <w:t>（二）甲方应按照乙方要求，提供真实、合法、有效及完整的开户资料。</w:t>
      </w:r>
      <w:r>
        <w:rPr>
          <w:sz w:val="28"/>
        </w:rPr>
        <w:t>具体监管账户信息如下</w:t>
      </w:r>
      <w:r>
        <w:rPr>
          <w:rFonts w:hint="eastAsia"/>
          <w:sz w:val="28"/>
        </w:rPr>
        <w:t>：</w:t>
      </w:r>
    </w:p>
    <w:p w14:paraId="2DE5994E">
      <w:pPr>
        <w:snapToGrid w:val="0"/>
        <w:spacing w:line="520" w:lineRule="exact"/>
        <w:ind w:firstLine="560" w:firstLineChars="200"/>
        <w:jc w:val="left"/>
        <w:rPr>
          <w:sz w:val="28"/>
          <w:u w:val="single"/>
        </w:rPr>
      </w:pPr>
      <w:r>
        <w:rPr>
          <w:rFonts w:hint="eastAsia"/>
          <w:sz w:val="28"/>
        </w:rPr>
        <w:t>户  名：</w:t>
      </w:r>
      <w:r>
        <w:rPr>
          <w:rFonts w:hint="eastAsia"/>
          <w:sz w:val="28"/>
          <w:u w:val="single"/>
        </w:rPr>
        <w:t xml:space="preserve">                                </w:t>
      </w:r>
    </w:p>
    <w:p w14:paraId="1C0C35C1">
      <w:pPr>
        <w:snapToGrid w:val="0"/>
        <w:spacing w:line="520" w:lineRule="exact"/>
        <w:ind w:firstLine="560" w:firstLineChars="200"/>
        <w:jc w:val="left"/>
        <w:rPr>
          <w:sz w:val="28"/>
          <w:u w:val="single"/>
        </w:rPr>
      </w:pPr>
      <w:r>
        <w:rPr>
          <w:rFonts w:hint="eastAsia"/>
          <w:sz w:val="28"/>
        </w:rPr>
        <w:t>开户行：</w:t>
      </w:r>
      <w:r>
        <w:rPr>
          <w:rFonts w:hint="eastAsia"/>
          <w:sz w:val="28"/>
          <w:u w:val="single"/>
        </w:rPr>
        <w:t xml:space="preserve">                                </w:t>
      </w:r>
    </w:p>
    <w:p w14:paraId="0A7E68C1">
      <w:pPr>
        <w:snapToGrid w:val="0"/>
        <w:spacing w:line="520" w:lineRule="exact"/>
        <w:ind w:firstLine="560" w:firstLineChars="200"/>
        <w:jc w:val="left"/>
        <w:rPr>
          <w:sz w:val="28"/>
          <w:u w:val="single"/>
        </w:rPr>
      </w:pPr>
      <w:r>
        <w:rPr>
          <w:rFonts w:hint="eastAsia"/>
          <w:sz w:val="28"/>
        </w:rPr>
        <w:t>账  号：</w:t>
      </w:r>
      <w:r>
        <w:rPr>
          <w:rFonts w:hint="eastAsia"/>
          <w:sz w:val="28"/>
          <w:u w:val="single"/>
        </w:rPr>
        <w:t xml:space="preserve">                                </w:t>
      </w:r>
    </w:p>
    <w:p w14:paraId="6F02144F">
      <w:pPr>
        <w:snapToGrid w:val="0"/>
        <w:spacing w:line="520" w:lineRule="exact"/>
        <w:ind w:firstLine="562" w:firstLineChars="200"/>
        <w:jc w:val="left"/>
        <w:rPr>
          <w:sz w:val="28"/>
        </w:rPr>
      </w:pPr>
      <w:r>
        <w:rPr>
          <w:b/>
          <w:sz w:val="28"/>
        </w:rPr>
        <w:t>第</w:t>
      </w:r>
      <w:r>
        <w:rPr>
          <w:rFonts w:hint="eastAsia"/>
          <w:b/>
          <w:sz w:val="28"/>
        </w:rPr>
        <w:t>五</w:t>
      </w:r>
      <w:r>
        <w:rPr>
          <w:b/>
          <w:sz w:val="28"/>
        </w:rPr>
        <w:t>条</w:t>
      </w:r>
      <w:r>
        <w:rPr>
          <w:rFonts w:hint="eastAsia"/>
          <w:sz w:val="28"/>
        </w:rPr>
        <w:t xml:space="preserve">  账户报备</w:t>
      </w:r>
    </w:p>
    <w:p w14:paraId="19D51589">
      <w:pPr>
        <w:snapToGrid w:val="0"/>
        <w:spacing w:line="520" w:lineRule="exact"/>
        <w:ind w:firstLine="560" w:firstLineChars="200"/>
        <w:jc w:val="left"/>
        <w:rPr>
          <w:sz w:val="28"/>
        </w:rPr>
      </w:pPr>
      <w:r>
        <w:rPr>
          <w:rFonts w:hint="eastAsia"/>
          <w:sz w:val="28"/>
        </w:rPr>
        <w:t>监管账户开立后</w:t>
      </w:r>
      <w:r>
        <w:rPr>
          <w:rFonts w:hint="eastAsia"/>
          <w:sz w:val="28"/>
          <w:highlight w:val="none"/>
        </w:rPr>
        <w:t>，乙方</w:t>
      </w:r>
      <w:r>
        <w:rPr>
          <w:rFonts w:hint="eastAsia"/>
          <w:sz w:val="28"/>
        </w:rPr>
        <w:t>应按照市</w:t>
      </w:r>
      <w:r>
        <w:rPr>
          <w:rFonts w:hint="eastAsia"/>
          <w:sz w:val="28"/>
          <w:lang w:eastAsia="zh-CN"/>
        </w:rPr>
        <w:t>工信局</w:t>
      </w:r>
      <w:r>
        <w:rPr>
          <w:rFonts w:hint="eastAsia"/>
          <w:sz w:val="28"/>
        </w:rPr>
        <w:t>的要求，将本监管账户的完整信息（包括户名、账号、开户行）正式报备至市</w:t>
      </w:r>
      <w:r>
        <w:rPr>
          <w:rFonts w:hint="eastAsia"/>
          <w:sz w:val="28"/>
          <w:lang w:eastAsia="zh-CN"/>
        </w:rPr>
        <w:t>工信局</w:t>
      </w:r>
      <w:r>
        <w:rPr>
          <w:rFonts w:hint="eastAsia"/>
          <w:sz w:val="28"/>
        </w:rPr>
        <w:t>。</w:t>
      </w:r>
    </w:p>
    <w:p w14:paraId="0398EE6E">
      <w:pPr>
        <w:snapToGrid w:val="0"/>
        <w:spacing w:line="520" w:lineRule="exact"/>
        <w:ind w:firstLine="562" w:firstLineChars="200"/>
        <w:jc w:val="left"/>
        <w:rPr>
          <w:sz w:val="28"/>
        </w:rPr>
      </w:pPr>
      <w:r>
        <w:rPr>
          <w:b/>
          <w:sz w:val="28"/>
        </w:rPr>
        <w:t>第六条</w:t>
      </w:r>
      <w:r>
        <w:rPr>
          <w:rFonts w:hint="eastAsia"/>
          <w:sz w:val="28"/>
        </w:rPr>
        <w:t xml:space="preserve">  监管账户管理</w:t>
      </w:r>
    </w:p>
    <w:p w14:paraId="61059EB3">
      <w:pPr>
        <w:snapToGrid w:val="0"/>
        <w:spacing w:line="520" w:lineRule="exact"/>
        <w:ind w:firstLine="560" w:firstLineChars="200"/>
        <w:jc w:val="left"/>
        <w:rPr>
          <w:sz w:val="28"/>
        </w:rPr>
      </w:pPr>
      <w:r>
        <w:rPr>
          <w:rFonts w:hint="eastAsia"/>
          <w:sz w:val="28"/>
        </w:rPr>
        <w:t>（一）监管账户不得作为扣税账户、不得支取现金或挪作他用。</w:t>
      </w:r>
    </w:p>
    <w:p w14:paraId="63379058">
      <w:pPr>
        <w:snapToGrid w:val="0"/>
        <w:spacing w:line="520" w:lineRule="exact"/>
        <w:ind w:firstLine="560" w:firstLineChars="200"/>
        <w:jc w:val="left"/>
        <w:rPr>
          <w:sz w:val="28"/>
        </w:rPr>
      </w:pPr>
      <w:r>
        <w:rPr>
          <w:rFonts w:hint="eastAsia"/>
          <w:sz w:val="28"/>
        </w:rPr>
        <w:t>（二）乙方根据本协议约定的合规指令办理资金支付，不擅自动用账户资金。</w:t>
      </w:r>
    </w:p>
    <w:p w14:paraId="6874F258">
      <w:pPr>
        <w:snapToGrid w:val="0"/>
        <w:spacing w:line="520" w:lineRule="exact"/>
        <w:ind w:firstLine="560" w:firstLineChars="200"/>
        <w:jc w:val="left"/>
        <w:rPr>
          <w:sz w:val="28"/>
        </w:rPr>
      </w:pPr>
      <w:r>
        <w:rPr>
          <w:rFonts w:hint="eastAsia"/>
          <w:sz w:val="28"/>
        </w:rPr>
        <w:t>（三）监管账户仅可开通网上银行、企业手机银行的查询对账功能和电话银行的查询功能，上述三个渠道不允许开通转账功能；监管账户可以开通通存业务，但不允许开通通兑业务。</w:t>
      </w:r>
    </w:p>
    <w:p w14:paraId="765A3197">
      <w:pPr>
        <w:snapToGrid w:val="0"/>
        <w:spacing w:line="520" w:lineRule="exact"/>
        <w:ind w:firstLine="560" w:firstLineChars="200"/>
        <w:jc w:val="left"/>
        <w:rPr>
          <w:sz w:val="28"/>
        </w:rPr>
      </w:pPr>
    </w:p>
    <w:p w14:paraId="4194DFF7">
      <w:pPr>
        <w:snapToGrid w:val="0"/>
        <w:spacing w:line="520" w:lineRule="exact"/>
        <w:ind w:firstLine="560" w:firstLineChars="200"/>
        <w:jc w:val="center"/>
        <w:rPr>
          <w:rFonts w:ascii="黑体" w:hAnsi="黑体" w:eastAsia="黑体"/>
          <w:sz w:val="28"/>
        </w:rPr>
      </w:pPr>
      <w:r>
        <w:rPr>
          <w:rFonts w:ascii="黑体" w:hAnsi="黑体" w:eastAsia="黑体"/>
          <w:sz w:val="28"/>
        </w:rPr>
        <w:t xml:space="preserve">第三章 </w:t>
      </w:r>
      <w:r>
        <w:rPr>
          <w:rFonts w:hint="eastAsia" w:ascii="黑体" w:hAnsi="黑体" w:eastAsia="黑体"/>
          <w:sz w:val="28"/>
        </w:rPr>
        <w:t>资金收付管理</w:t>
      </w:r>
    </w:p>
    <w:p w14:paraId="4F4BFA13">
      <w:pPr>
        <w:snapToGrid w:val="0"/>
        <w:spacing w:line="520" w:lineRule="exact"/>
        <w:ind w:firstLine="562" w:firstLineChars="200"/>
        <w:jc w:val="left"/>
        <w:rPr>
          <w:sz w:val="28"/>
        </w:rPr>
      </w:pPr>
      <w:r>
        <w:rPr>
          <w:b/>
          <w:sz w:val="28"/>
        </w:rPr>
        <w:t>第七条</w:t>
      </w:r>
      <w:r>
        <w:rPr>
          <w:rFonts w:hint="eastAsia"/>
          <w:sz w:val="28"/>
        </w:rPr>
        <w:t xml:space="preserve"> </w:t>
      </w:r>
      <w:r>
        <w:rPr>
          <w:rFonts w:hint="eastAsia"/>
          <w:b/>
          <w:sz w:val="28"/>
        </w:rPr>
        <w:t xml:space="preserve"> </w:t>
      </w:r>
      <w:r>
        <w:rPr>
          <w:rFonts w:hint="eastAsia"/>
          <w:sz w:val="28"/>
        </w:rPr>
        <w:t>资金预拨</w:t>
      </w:r>
    </w:p>
    <w:p w14:paraId="70B7961B">
      <w:pPr>
        <w:snapToGrid w:val="0"/>
        <w:spacing w:line="520" w:lineRule="exact"/>
        <w:ind w:firstLine="560" w:firstLineChars="200"/>
        <w:jc w:val="left"/>
        <w:rPr>
          <w:sz w:val="28"/>
        </w:rPr>
      </w:pPr>
      <w:r>
        <w:rPr>
          <w:rFonts w:hint="eastAsia"/>
          <w:sz w:val="28"/>
        </w:rPr>
        <w:t>市</w:t>
      </w:r>
      <w:r>
        <w:rPr>
          <w:rFonts w:hint="eastAsia"/>
          <w:sz w:val="28"/>
          <w:lang w:eastAsia="zh-CN"/>
        </w:rPr>
        <w:t>工信局</w:t>
      </w:r>
      <w:r>
        <w:rPr>
          <w:rFonts w:hint="eastAsia"/>
          <w:sz w:val="28"/>
        </w:rPr>
        <w:t>根据项目审核结果，将专项资金划入本协议约定的监管账户。该笔专项资金为暂收款项，非最终补助金额，其最终额度将以项目验收后市</w:t>
      </w:r>
      <w:r>
        <w:rPr>
          <w:rFonts w:hint="eastAsia"/>
          <w:sz w:val="28"/>
          <w:lang w:eastAsia="zh-CN"/>
        </w:rPr>
        <w:t>工信局</w:t>
      </w:r>
      <w:r>
        <w:rPr>
          <w:rFonts w:hint="eastAsia"/>
          <w:sz w:val="28"/>
        </w:rPr>
        <w:t>的最终审定意见为准。</w:t>
      </w:r>
    </w:p>
    <w:p w14:paraId="355B4B29">
      <w:pPr>
        <w:snapToGrid w:val="0"/>
        <w:spacing w:line="520" w:lineRule="exact"/>
        <w:ind w:firstLine="562" w:firstLineChars="200"/>
        <w:jc w:val="left"/>
        <w:rPr>
          <w:sz w:val="28"/>
        </w:rPr>
      </w:pPr>
      <w:r>
        <w:rPr>
          <w:b/>
          <w:sz w:val="28"/>
        </w:rPr>
        <w:t>第八条</w:t>
      </w:r>
      <w:r>
        <w:rPr>
          <w:rFonts w:hint="eastAsia"/>
          <w:b/>
          <w:sz w:val="28"/>
        </w:rPr>
        <w:t xml:space="preserve">  </w:t>
      </w:r>
      <w:r>
        <w:rPr>
          <w:rFonts w:hint="eastAsia"/>
          <w:sz w:val="28"/>
        </w:rPr>
        <w:t>资金入账</w:t>
      </w:r>
    </w:p>
    <w:p w14:paraId="624D773E">
      <w:pPr>
        <w:snapToGrid w:val="0"/>
        <w:spacing w:line="520" w:lineRule="exact"/>
        <w:ind w:firstLine="560" w:firstLineChars="200"/>
        <w:jc w:val="left"/>
        <w:rPr>
          <w:sz w:val="28"/>
        </w:rPr>
      </w:pPr>
      <w:r>
        <w:rPr>
          <w:rFonts w:hint="eastAsia"/>
          <w:sz w:val="28"/>
        </w:rPr>
        <w:t>监管账户专项用于接收市</w:t>
      </w:r>
      <w:r>
        <w:rPr>
          <w:rFonts w:hint="eastAsia"/>
          <w:sz w:val="28"/>
          <w:lang w:eastAsia="zh-CN"/>
        </w:rPr>
        <w:t>工信局</w:t>
      </w:r>
      <w:r>
        <w:rPr>
          <w:rFonts w:hint="eastAsia"/>
          <w:sz w:val="28"/>
        </w:rPr>
        <w:t>拨付的专项资金。乙方不对资金来源的合规性承担审核责任。甲方不得将其他资金存入本账户。</w:t>
      </w:r>
    </w:p>
    <w:p w14:paraId="6E4AB7D0">
      <w:pPr>
        <w:snapToGrid w:val="0"/>
        <w:spacing w:line="520" w:lineRule="exact"/>
        <w:ind w:firstLine="562" w:firstLineChars="200"/>
        <w:jc w:val="left"/>
        <w:rPr>
          <w:sz w:val="28"/>
        </w:rPr>
      </w:pPr>
      <w:r>
        <w:rPr>
          <w:rFonts w:hint="eastAsia"/>
          <w:b/>
          <w:sz w:val="28"/>
        </w:rPr>
        <w:t xml:space="preserve">第九条  </w:t>
      </w:r>
      <w:r>
        <w:rPr>
          <w:rFonts w:hint="eastAsia"/>
          <w:sz w:val="28"/>
        </w:rPr>
        <w:t>解除条件与结算依据</w:t>
      </w:r>
    </w:p>
    <w:p w14:paraId="4FCA7AEE">
      <w:pPr>
        <w:snapToGrid w:val="0"/>
        <w:spacing w:line="520" w:lineRule="exact"/>
        <w:ind w:firstLine="560" w:firstLineChars="200"/>
        <w:rPr>
          <w:sz w:val="28"/>
        </w:rPr>
      </w:pPr>
      <w:r>
        <w:rPr>
          <w:rFonts w:hint="eastAsia"/>
          <w:sz w:val="28"/>
        </w:rPr>
        <w:t>乙方根据市</w:t>
      </w:r>
      <w:r>
        <w:rPr>
          <w:rFonts w:hint="eastAsia"/>
          <w:sz w:val="28"/>
          <w:lang w:eastAsia="zh-CN"/>
        </w:rPr>
        <w:t>工信局</w:t>
      </w:r>
      <w:r>
        <w:rPr>
          <w:rFonts w:hint="eastAsia"/>
          <w:sz w:val="28"/>
        </w:rPr>
        <w:t>出具的同意解除监管并明确资金结算方式的有效书面指令，按以下约定办理资金结算并解除监管。</w:t>
      </w:r>
    </w:p>
    <w:p w14:paraId="6E97A65F">
      <w:pPr>
        <w:snapToGrid w:val="0"/>
        <w:spacing w:line="520" w:lineRule="exact"/>
        <w:ind w:firstLine="560" w:firstLineChars="200"/>
        <w:jc w:val="left"/>
        <w:rPr>
          <w:sz w:val="28"/>
        </w:rPr>
      </w:pPr>
      <w:r>
        <w:rPr>
          <w:rFonts w:hint="eastAsia"/>
          <w:sz w:val="28"/>
        </w:rPr>
        <w:t>（一）资金结余（多）与退还。监管账户内专项资金结余部分，乙方须凭市</w:t>
      </w:r>
      <w:r>
        <w:rPr>
          <w:rFonts w:hint="eastAsia"/>
          <w:sz w:val="28"/>
          <w:lang w:eastAsia="zh-CN"/>
        </w:rPr>
        <w:t>工信局</w:t>
      </w:r>
      <w:r>
        <w:rPr>
          <w:rFonts w:hint="eastAsia"/>
          <w:sz w:val="28"/>
        </w:rPr>
        <w:t>或财政部门出具的资金返纳证明文件及银行有效支付凭证，将结余资金退还指定财政账户。</w:t>
      </w:r>
    </w:p>
    <w:p w14:paraId="39461D08">
      <w:pPr>
        <w:snapToGrid w:val="0"/>
        <w:spacing w:line="520" w:lineRule="exact"/>
        <w:ind w:firstLine="560" w:firstLineChars="200"/>
        <w:jc w:val="left"/>
        <w:rPr>
          <w:sz w:val="28"/>
        </w:rPr>
      </w:pPr>
      <w:r>
        <w:rPr>
          <w:rFonts w:hint="eastAsia"/>
          <w:sz w:val="28"/>
        </w:rPr>
        <w:t>（二）资金缺口（少）与补足。若存在资金缺口，市</w:t>
      </w:r>
      <w:r>
        <w:rPr>
          <w:rFonts w:hint="eastAsia"/>
          <w:sz w:val="28"/>
          <w:lang w:eastAsia="zh-CN"/>
        </w:rPr>
        <w:t>工信局</w:t>
      </w:r>
      <w:r>
        <w:rPr>
          <w:rFonts w:hint="eastAsia"/>
          <w:sz w:val="28"/>
        </w:rPr>
        <w:t>将在出具解除监管通知前，将差额部分补足至本监管账户。</w:t>
      </w:r>
    </w:p>
    <w:p w14:paraId="1EAC089A">
      <w:pPr>
        <w:snapToGrid w:val="0"/>
        <w:spacing w:line="520" w:lineRule="exact"/>
        <w:ind w:firstLine="560" w:firstLineChars="200"/>
        <w:jc w:val="left"/>
        <w:rPr>
          <w:sz w:val="28"/>
        </w:rPr>
      </w:pPr>
      <w:r>
        <w:rPr>
          <w:rFonts w:hint="eastAsia"/>
          <w:sz w:val="28"/>
        </w:rPr>
        <w:t>（三）监管账户内利息处理。监管账户产生的全部利息，乙方凭《广东省非税收入一般缴款书》及银行有效支付凭证，将利息统一缴入指定的非税收入账户。</w:t>
      </w:r>
    </w:p>
    <w:p w14:paraId="393E383E">
      <w:pPr>
        <w:snapToGrid w:val="0"/>
        <w:spacing w:line="520" w:lineRule="exact"/>
        <w:ind w:firstLine="560" w:firstLineChars="200"/>
        <w:jc w:val="left"/>
        <w:rPr>
          <w:sz w:val="28"/>
        </w:rPr>
      </w:pPr>
      <w:r>
        <w:rPr>
          <w:rFonts w:hint="eastAsia"/>
          <w:sz w:val="28"/>
        </w:rPr>
        <w:t>（四）监管账户剩余资金划转。上述结算完成后，监管账户内剩余的全部资金（即最终核定属于甲方的项目资金），将划入甲方指定的银行结算账户。</w:t>
      </w:r>
    </w:p>
    <w:p w14:paraId="47D6A0E0">
      <w:pPr>
        <w:snapToGrid w:val="0"/>
        <w:spacing w:line="520" w:lineRule="exact"/>
        <w:ind w:firstLine="560" w:firstLineChars="200"/>
        <w:jc w:val="left"/>
        <w:rPr>
          <w:sz w:val="28"/>
        </w:rPr>
      </w:pPr>
      <w:r>
        <w:rPr>
          <w:rFonts w:hint="eastAsia"/>
          <w:sz w:val="28"/>
        </w:rPr>
        <w:t>（五）监管账户销户。监管账户内所有资金结算支付完成后，乙方凭销户资料办理销户手续。</w:t>
      </w:r>
    </w:p>
    <w:p w14:paraId="0BF02FF1">
      <w:pPr>
        <w:snapToGrid w:val="0"/>
        <w:spacing w:line="520" w:lineRule="exact"/>
        <w:ind w:firstLine="562" w:firstLineChars="200"/>
        <w:jc w:val="left"/>
        <w:rPr>
          <w:sz w:val="28"/>
        </w:rPr>
      </w:pPr>
      <w:r>
        <w:rPr>
          <w:rFonts w:hint="eastAsia"/>
          <w:b/>
          <w:sz w:val="28"/>
        </w:rPr>
        <w:t>第十条</w:t>
      </w:r>
      <w:r>
        <w:rPr>
          <w:rFonts w:hint="eastAsia"/>
          <w:sz w:val="28"/>
        </w:rPr>
        <w:t xml:space="preserve">  支付监督</w:t>
      </w:r>
    </w:p>
    <w:p w14:paraId="43CE380B">
      <w:pPr>
        <w:snapToGrid w:val="0"/>
        <w:spacing w:line="520" w:lineRule="exact"/>
        <w:ind w:firstLine="560" w:firstLineChars="200"/>
        <w:jc w:val="left"/>
        <w:rPr>
          <w:sz w:val="28"/>
        </w:rPr>
      </w:pPr>
      <w:r>
        <w:rPr>
          <w:rFonts w:hint="eastAsia"/>
          <w:sz w:val="28"/>
        </w:rPr>
        <w:t>甲乙双方应配合市</w:t>
      </w:r>
      <w:r>
        <w:rPr>
          <w:rFonts w:hint="eastAsia"/>
          <w:sz w:val="28"/>
          <w:lang w:eastAsia="zh-CN"/>
        </w:rPr>
        <w:t>工信局</w:t>
      </w:r>
      <w:r>
        <w:rPr>
          <w:rFonts w:hint="eastAsia"/>
          <w:sz w:val="28"/>
        </w:rPr>
        <w:t>、财政部门等相关主管部门对监管账户资金使用情况开展监督检查与审计工作，并按要求提供必要的账户信息及交易记录等相关资料。</w:t>
      </w:r>
    </w:p>
    <w:p w14:paraId="4FFB6C7A">
      <w:pPr>
        <w:snapToGrid w:val="0"/>
        <w:spacing w:line="520" w:lineRule="exact"/>
        <w:ind w:firstLine="560" w:firstLineChars="200"/>
        <w:jc w:val="left"/>
        <w:rPr>
          <w:sz w:val="28"/>
        </w:rPr>
      </w:pPr>
    </w:p>
    <w:p w14:paraId="23323844">
      <w:pPr>
        <w:snapToGrid w:val="0"/>
        <w:spacing w:line="520" w:lineRule="exact"/>
        <w:ind w:firstLine="560" w:firstLineChars="200"/>
        <w:jc w:val="center"/>
        <w:rPr>
          <w:rFonts w:ascii="黑体" w:hAnsi="黑体" w:eastAsia="黑体"/>
          <w:sz w:val="28"/>
        </w:rPr>
      </w:pPr>
      <w:r>
        <w:rPr>
          <w:rFonts w:ascii="黑体" w:hAnsi="黑体" w:eastAsia="黑体"/>
          <w:sz w:val="28"/>
        </w:rPr>
        <w:t>第</w:t>
      </w:r>
      <w:r>
        <w:rPr>
          <w:rFonts w:hint="eastAsia" w:ascii="黑体" w:hAnsi="黑体" w:eastAsia="黑体"/>
          <w:sz w:val="28"/>
        </w:rPr>
        <w:t>四</w:t>
      </w:r>
      <w:r>
        <w:rPr>
          <w:rFonts w:ascii="黑体" w:hAnsi="黑体" w:eastAsia="黑体"/>
          <w:sz w:val="28"/>
        </w:rPr>
        <w:t>章 双方的权利与义务</w:t>
      </w:r>
    </w:p>
    <w:p w14:paraId="2DD21AD0">
      <w:pPr>
        <w:snapToGrid w:val="0"/>
        <w:spacing w:line="520" w:lineRule="exact"/>
        <w:ind w:firstLine="562" w:firstLineChars="200"/>
        <w:jc w:val="left"/>
        <w:rPr>
          <w:sz w:val="28"/>
        </w:rPr>
      </w:pPr>
      <w:r>
        <w:rPr>
          <w:b/>
          <w:sz w:val="28"/>
        </w:rPr>
        <w:t xml:space="preserve">第十一条 </w:t>
      </w:r>
      <w:r>
        <w:rPr>
          <w:sz w:val="28"/>
        </w:rPr>
        <w:t>甲方的权利与义务</w:t>
      </w:r>
    </w:p>
    <w:p w14:paraId="4A09CE02">
      <w:pPr>
        <w:snapToGrid w:val="0"/>
        <w:spacing w:line="520" w:lineRule="exact"/>
        <w:ind w:firstLine="560" w:firstLineChars="200"/>
        <w:jc w:val="left"/>
        <w:rPr>
          <w:sz w:val="28"/>
        </w:rPr>
      </w:pPr>
      <w:r>
        <w:rPr>
          <w:rFonts w:hint="eastAsia"/>
          <w:sz w:val="28"/>
        </w:rPr>
        <w:t>（</w:t>
      </w:r>
      <w:r>
        <w:rPr>
          <w:sz w:val="28"/>
        </w:rPr>
        <w:t>一</w:t>
      </w:r>
      <w:r>
        <w:rPr>
          <w:rFonts w:hint="eastAsia"/>
          <w:sz w:val="28"/>
        </w:rPr>
        <w:t>）甲方保证其为项目申报和账户开立所向乙方及市</w:t>
      </w:r>
      <w:r>
        <w:rPr>
          <w:rFonts w:hint="eastAsia"/>
          <w:sz w:val="28"/>
          <w:lang w:eastAsia="zh-CN"/>
        </w:rPr>
        <w:t>工信局</w:t>
      </w:r>
      <w:r>
        <w:rPr>
          <w:rFonts w:hint="eastAsia"/>
          <w:sz w:val="28"/>
        </w:rPr>
        <w:t>提供的全部资料、凭证的真实性、合法性与有效性。</w:t>
      </w:r>
    </w:p>
    <w:p w14:paraId="581C237D">
      <w:pPr>
        <w:snapToGrid w:val="0"/>
        <w:spacing w:line="520" w:lineRule="exact"/>
        <w:ind w:firstLine="560" w:firstLineChars="200"/>
        <w:jc w:val="left"/>
        <w:rPr>
          <w:sz w:val="28"/>
        </w:rPr>
      </w:pPr>
      <w:r>
        <w:rPr>
          <w:rFonts w:hint="eastAsia"/>
          <w:sz w:val="28"/>
        </w:rPr>
        <w:t>（二）甲方向乙方承诺，按照本协议约定及专项资金政策规定使用资金。</w:t>
      </w:r>
    </w:p>
    <w:p w14:paraId="6868025D">
      <w:pPr>
        <w:snapToGrid w:val="0"/>
        <w:spacing w:line="520" w:lineRule="exact"/>
        <w:ind w:firstLine="560" w:firstLineChars="200"/>
        <w:jc w:val="left"/>
        <w:rPr>
          <w:sz w:val="28"/>
        </w:rPr>
      </w:pPr>
      <w:r>
        <w:rPr>
          <w:rFonts w:hint="eastAsia"/>
          <w:sz w:val="28"/>
        </w:rPr>
        <w:t>（三）甲方理解并同意监管账户在监管期内处于冻结状态（只收不付），并无条件配合完成资金结算、利息上缴及结余资金退还等工作。</w:t>
      </w:r>
    </w:p>
    <w:p w14:paraId="020202F5">
      <w:pPr>
        <w:snapToGrid w:val="0"/>
        <w:spacing w:line="520" w:lineRule="exact"/>
        <w:ind w:firstLine="560" w:firstLineChars="200"/>
        <w:rPr>
          <w:sz w:val="28"/>
        </w:rPr>
      </w:pPr>
      <w:r>
        <w:rPr>
          <w:rFonts w:hint="eastAsia"/>
          <w:sz w:val="28"/>
        </w:rPr>
        <w:t>（四）甲方不得要求乙方在未获得市</w:t>
      </w:r>
      <w:r>
        <w:rPr>
          <w:rFonts w:hint="eastAsia"/>
          <w:sz w:val="28"/>
          <w:lang w:eastAsia="zh-CN"/>
        </w:rPr>
        <w:t>工信局</w:t>
      </w:r>
      <w:r>
        <w:rPr>
          <w:rFonts w:hint="eastAsia"/>
          <w:sz w:val="28"/>
        </w:rPr>
        <w:t>、财政部门等相关方出具的正式解除监管函件及资金结算指令前办理支付或提前解控。</w:t>
      </w:r>
    </w:p>
    <w:p w14:paraId="34DCAAFE">
      <w:pPr>
        <w:snapToGrid w:val="0"/>
        <w:spacing w:line="520" w:lineRule="exact"/>
        <w:ind w:firstLine="560" w:firstLineChars="200"/>
        <w:jc w:val="left"/>
        <w:rPr>
          <w:sz w:val="28"/>
        </w:rPr>
      </w:pPr>
      <w:r>
        <w:rPr>
          <w:rFonts w:hint="eastAsia"/>
          <w:sz w:val="28"/>
        </w:rPr>
        <w:t>（五）</w:t>
      </w:r>
      <w:r>
        <w:rPr>
          <w:sz w:val="28"/>
        </w:rPr>
        <w:t>因甲方提供虚假材料或挪用资金导致的一切法律责任和经济损失，由甲方自行承担。</w:t>
      </w:r>
    </w:p>
    <w:p w14:paraId="3FDE1616">
      <w:pPr>
        <w:snapToGrid w:val="0"/>
        <w:spacing w:line="520" w:lineRule="exact"/>
        <w:ind w:firstLine="562" w:firstLineChars="200"/>
        <w:jc w:val="left"/>
        <w:rPr>
          <w:sz w:val="28"/>
        </w:rPr>
      </w:pPr>
      <w:r>
        <w:rPr>
          <w:b/>
          <w:sz w:val="28"/>
        </w:rPr>
        <w:t>第</w:t>
      </w:r>
      <w:r>
        <w:rPr>
          <w:rFonts w:hint="eastAsia"/>
          <w:b/>
          <w:sz w:val="28"/>
        </w:rPr>
        <w:t>十二</w:t>
      </w:r>
      <w:r>
        <w:rPr>
          <w:b/>
          <w:sz w:val="28"/>
        </w:rPr>
        <w:t xml:space="preserve">条 </w:t>
      </w:r>
      <w:r>
        <w:rPr>
          <w:sz w:val="28"/>
        </w:rPr>
        <w:t>乙方的权利与义务</w:t>
      </w:r>
    </w:p>
    <w:p w14:paraId="019663DA">
      <w:pPr>
        <w:snapToGrid w:val="0"/>
        <w:spacing w:line="520" w:lineRule="exact"/>
        <w:ind w:firstLine="560" w:firstLineChars="200"/>
        <w:jc w:val="left"/>
        <w:rPr>
          <w:sz w:val="28"/>
        </w:rPr>
      </w:pPr>
      <w:r>
        <w:rPr>
          <w:rFonts w:hint="eastAsia"/>
          <w:sz w:val="28"/>
        </w:rPr>
        <w:t>（</w:t>
      </w:r>
      <w:r>
        <w:rPr>
          <w:sz w:val="28"/>
        </w:rPr>
        <w:t>一</w:t>
      </w:r>
      <w:r>
        <w:rPr>
          <w:rFonts w:hint="eastAsia"/>
          <w:sz w:val="28"/>
        </w:rPr>
        <w:t>）乙方</w:t>
      </w:r>
      <w:r>
        <w:rPr>
          <w:sz w:val="28"/>
        </w:rPr>
        <w:t>依据市</w:t>
      </w:r>
      <w:r>
        <w:rPr>
          <w:rFonts w:hint="eastAsia"/>
          <w:sz w:val="28"/>
          <w:lang w:eastAsia="zh-CN"/>
        </w:rPr>
        <w:t>工信局</w:t>
      </w:r>
      <w:r>
        <w:rPr>
          <w:sz w:val="28"/>
        </w:rPr>
        <w:t>书面文件开立监管账户</w:t>
      </w:r>
      <w:r>
        <w:rPr>
          <w:rFonts w:hint="eastAsia"/>
          <w:sz w:val="28"/>
        </w:rPr>
        <w:t>，</w:t>
      </w:r>
      <w:r>
        <w:rPr>
          <w:sz w:val="28"/>
        </w:rPr>
        <w:t>并按设置</w:t>
      </w:r>
      <w:r>
        <w:rPr>
          <w:rFonts w:hint="eastAsia"/>
          <w:sz w:val="28"/>
        </w:rPr>
        <w:t>账户</w:t>
      </w:r>
      <w:r>
        <w:rPr>
          <w:sz w:val="28"/>
        </w:rPr>
        <w:t>冻结</w:t>
      </w:r>
      <w:r>
        <w:rPr>
          <w:rFonts w:hint="eastAsia"/>
          <w:sz w:val="28"/>
        </w:rPr>
        <w:t>（只收不付）状态。</w:t>
      </w:r>
    </w:p>
    <w:p w14:paraId="634C899C">
      <w:pPr>
        <w:snapToGrid w:val="0"/>
        <w:spacing w:line="520" w:lineRule="exact"/>
        <w:ind w:firstLine="560" w:firstLineChars="200"/>
        <w:jc w:val="left"/>
        <w:rPr>
          <w:sz w:val="28"/>
        </w:rPr>
      </w:pPr>
      <w:r>
        <w:rPr>
          <w:rFonts w:hint="eastAsia"/>
          <w:sz w:val="28"/>
        </w:rPr>
        <w:t>（</w:t>
      </w:r>
      <w:r>
        <w:rPr>
          <w:sz w:val="28"/>
        </w:rPr>
        <w:t>二</w:t>
      </w:r>
      <w:r>
        <w:rPr>
          <w:rFonts w:hint="eastAsia"/>
          <w:sz w:val="28"/>
        </w:rPr>
        <w:t>）在办理资金结算、利息上缴及结余资金退还前，乙方仅对甲方或相关部门提交的资料进行形式审核，即仅审核资料是否齐全、记载事项与监管要求是否在形式上一致、签章是否完整。</w:t>
      </w:r>
    </w:p>
    <w:p w14:paraId="0D0486C8">
      <w:pPr>
        <w:snapToGrid w:val="0"/>
        <w:spacing w:line="520" w:lineRule="exact"/>
        <w:ind w:firstLine="560" w:firstLineChars="200"/>
        <w:rPr>
          <w:sz w:val="28"/>
        </w:rPr>
      </w:pPr>
      <w:r>
        <w:rPr>
          <w:rFonts w:hint="eastAsia"/>
          <w:sz w:val="28"/>
        </w:rPr>
        <w:t>（三）乙方对基于本协议开展的支付指令，不承担其真实性、合法性、有效性的实质性性审核责任。因执行市</w:t>
      </w:r>
      <w:r>
        <w:rPr>
          <w:rFonts w:hint="eastAsia"/>
          <w:sz w:val="28"/>
          <w:lang w:eastAsia="zh-CN"/>
        </w:rPr>
        <w:t>工信局</w:t>
      </w:r>
      <w:r>
        <w:rPr>
          <w:rFonts w:hint="eastAsia"/>
          <w:sz w:val="28"/>
        </w:rPr>
        <w:t>、财政部门等有权部门出具的有效书面指令所产生的任何责任，由相应指令发出方承担。</w:t>
      </w:r>
    </w:p>
    <w:p w14:paraId="3C64BB25">
      <w:pPr>
        <w:snapToGrid w:val="0"/>
        <w:spacing w:line="520" w:lineRule="exact"/>
        <w:ind w:firstLine="560" w:firstLineChars="200"/>
        <w:jc w:val="left"/>
        <w:rPr>
          <w:sz w:val="28"/>
        </w:rPr>
      </w:pPr>
      <w:r>
        <w:rPr>
          <w:rFonts w:hint="eastAsia"/>
          <w:sz w:val="28"/>
        </w:rPr>
        <w:t>（四）乙方提供本协议项下资金监管业务，不对甲方承担任何保证责任。</w:t>
      </w:r>
    </w:p>
    <w:p w14:paraId="42946857">
      <w:pPr>
        <w:snapToGrid w:val="0"/>
        <w:spacing w:line="520" w:lineRule="exact"/>
        <w:rPr>
          <w:rFonts w:ascii="CESI仿宋-GB2312" w:hAnsi="CESI仿宋-GB2312" w:eastAsia="CESI仿宋-GB2312" w:cs="CESI仿宋-GB2312"/>
          <w:sz w:val="28"/>
        </w:rPr>
      </w:pPr>
    </w:p>
    <w:p w14:paraId="0C5BCE9B">
      <w:pPr>
        <w:snapToGrid w:val="0"/>
        <w:spacing w:line="520" w:lineRule="exact"/>
        <w:ind w:firstLine="560" w:firstLineChars="200"/>
        <w:jc w:val="center"/>
        <w:rPr>
          <w:rFonts w:ascii="黑体" w:hAnsi="黑体" w:eastAsia="黑体"/>
          <w:sz w:val="28"/>
        </w:rPr>
      </w:pPr>
      <w:r>
        <w:rPr>
          <w:rFonts w:hint="eastAsia" w:ascii="黑体" w:hAnsi="黑体" w:eastAsia="黑体"/>
          <w:sz w:val="28"/>
        </w:rPr>
        <w:t>第五章</w:t>
      </w:r>
      <w:r>
        <w:rPr>
          <w:rFonts w:ascii="黑体" w:hAnsi="黑体" w:eastAsia="黑体"/>
          <w:sz w:val="28"/>
        </w:rPr>
        <w:t xml:space="preserve"> </w:t>
      </w:r>
      <w:r>
        <w:rPr>
          <w:rFonts w:hint="eastAsia" w:ascii="黑体" w:hAnsi="黑体" w:eastAsia="黑体"/>
          <w:sz w:val="28"/>
        </w:rPr>
        <w:t>费用收取</w:t>
      </w:r>
    </w:p>
    <w:p w14:paraId="265D7D5D">
      <w:pPr>
        <w:adjustRightInd w:val="0"/>
        <w:spacing w:line="520" w:lineRule="exact"/>
        <w:ind w:firstLine="562" w:firstLineChars="200"/>
        <w:rPr>
          <w:rFonts w:ascii="宋体" w:hAnsi="宋体"/>
          <w:color w:val="000000"/>
          <w:sz w:val="28"/>
        </w:rPr>
      </w:pPr>
      <w:r>
        <w:rPr>
          <w:rFonts w:hint="eastAsia" w:ascii="宋体" w:hAnsi="宋体"/>
          <w:b/>
          <w:color w:val="000000"/>
          <w:sz w:val="28"/>
        </w:rPr>
        <w:t>第十三条</w:t>
      </w:r>
      <w:r>
        <w:rPr>
          <w:rFonts w:ascii="宋体" w:hAnsi="宋体"/>
          <w:color w:val="000000"/>
          <w:sz w:val="28"/>
        </w:rPr>
        <w:t xml:space="preserve"> 乙方为甲方免除其专项资金账户开立、管理和服务的相关费用。包括但不限于：（1）账户开户费、账户管理费；（2）电子银行相关服务费用，包含网上银行、手机银行、短信银行等工本费、年费、手续费等；（3）汇款手续费；（4）电子回单箱IC卡工本费及电子</w:t>
      </w:r>
      <w:r>
        <w:rPr>
          <w:rFonts w:hint="eastAsia" w:ascii="宋体" w:hAnsi="宋体"/>
          <w:color w:val="000000"/>
          <w:sz w:val="28"/>
        </w:rPr>
        <w:t>回单柜租箱费（年费）；（</w:t>
      </w:r>
      <w:r>
        <w:rPr>
          <w:rFonts w:ascii="宋体" w:hAnsi="宋体"/>
          <w:color w:val="000000"/>
          <w:sz w:val="28"/>
        </w:rPr>
        <w:t>5）银行</w:t>
      </w:r>
      <w:r>
        <w:rPr>
          <w:rFonts w:hint="eastAsia" w:ascii="宋体" w:hAnsi="宋体"/>
          <w:color w:val="000000"/>
          <w:sz w:val="28"/>
        </w:rPr>
        <w:t>询证费等。</w:t>
      </w:r>
    </w:p>
    <w:p w14:paraId="7E5D49F8">
      <w:pPr>
        <w:snapToGrid w:val="0"/>
        <w:spacing w:line="520" w:lineRule="exact"/>
        <w:rPr>
          <w:rFonts w:ascii="CESI仿宋-GB2312" w:hAnsi="CESI仿宋-GB2312" w:eastAsia="CESI仿宋-GB2312" w:cs="CESI仿宋-GB2312"/>
          <w:sz w:val="28"/>
        </w:rPr>
      </w:pPr>
    </w:p>
    <w:p w14:paraId="5C1F9884">
      <w:pPr>
        <w:snapToGrid w:val="0"/>
        <w:spacing w:line="520" w:lineRule="exact"/>
        <w:ind w:firstLine="560" w:firstLineChars="200"/>
        <w:jc w:val="center"/>
        <w:rPr>
          <w:rFonts w:ascii="黑体" w:hAnsi="黑体" w:eastAsia="黑体"/>
          <w:sz w:val="28"/>
        </w:rPr>
      </w:pPr>
      <w:r>
        <w:rPr>
          <w:rFonts w:hint="eastAsia" w:ascii="黑体" w:hAnsi="黑体" w:eastAsia="黑体"/>
          <w:sz w:val="28"/>
        </w:rPr>
        <w:t>第六章 保密、反洗钱与消费者权益保护</w:t>
      </w:r>
    </w:p>
    <w:p w14:paraId="5A7B556B">
      <w:pPr>
        <w:spacing w:line="520" w:lineRule="exact"/>
        <w:ind w:firstLine="562" w:firstLineChars="200"/>
        <w:rPr>
          <w:sz w:val="28"/>
        </w:rPr>
      </w:pPr>
      <w:r>
        <w:rPr>
          <w:b/>
          <w:sz w:val="28"/>
        </w:rPr>
        <w:t>第</w:t>
      </w:r>
      <w:r>
        <w:rPr>
          <w:rFonts w:hint="eastAsia"/>
          <w:b/>
          <w:sz w:val="28"/>
        </w:rPr>
        <w:t>十四</w:t>
      </w:r>
      <w:r>
        <w:rPr>
          <w:b/>
          <w:sz w:val="28"/>
        </w:rPr>
        <w:t>条</w:t>
      </w:r>
      <w:r>
        <w:rPr>
          <w:rFonts w:hint="eastAsia"/>
          <w:b/>
          <w:sz w:val="28"/>
        </w:rPr>
        <w:t xml:space="preserve">  </w:t>
      </w:r>
      <w:r>
        <w:rPr>
          <w:rFonts w:hint="eastAsia"/>
          <w:sz w:val="28"/>
        </w:rPr>
        <w:t>保密义务</w:t>
      </w:r>
    </w:p>
    <w:p w14:paraId="66C8A27D">
      <w:pPr>
        <w:snapToGrid w:val="0"/>
        <w:spacing w:line="520" w:lineRule="exact"/>
        <w:ind w:firstLine="560" w:firstLineChars="200"/>
        <w:jc w:val="left"/>
        <w:rPr>
          <w:sz w:val="28"/>
        </w:rPr>
      </w:pPr>
      <w:r>
        <w:rPr>
          <w:rFonts w:hint="eastAsia"/>
          <w:sz w:val="28"/>
        </w:rPr>
        <w:t>甲乙双方应对履行本合同过程中获取的商业秘密、客户信息及所提供的全部资料严格保密。未经对方书面同意，任何一方不得向第三方披露，提供或以其他方式使用上述保密信息。若一方违反本保密条款，应向守约方赔偿因泄密行为导致的全部直接损失及可得利益损失。</w:t>
      </w:r>
    </w:p>
    <w:p w14:paraId="45325B83">
      <w:pPr>
        <w:snapToGrid w:val="0"/>
        <w:spacing w:line="520" w:lineRule="exact"/>
        <w:ind w:firstLine="562" w:firstLineChars="200"/>
        <w:jc w:val="left"/>
        <w:rPr>
          <w:sz w:val="28"/>
        </w:rPr>
      </w:pPr>
      <w:r>
        <w:rPr>
          <w:b/>
          <w:sz w:val="28"/>
        </w:rPr>
        <w:t>第</w:t>
      </w:r>
      <w:r>
        <w:rPr>
          <w:rFonts w:hint="eastAsia"/>
          <w:b/>
          <w:sz w:val="28"/>
        </w:rPr>
        <w:t>十五</w:t>
      </w:r>
      <w:r>
        <w:rPr>
          <w:b/>
          <w:sz w:val="28"/>
        </w:rPr>
        <w:t>条</w:t>
      </w:r>
      <w:r>
        <w:rPr>
          <w:rFonts w:hint="eastAsia"/>
          <w:b/>
          <w:sz w:val="28"/>
        </w:rPr>
        <w:t xml:space="preserve">  </w:t>
      </w:r>
      <w:r>
        <w:rPr>
          <w:rFonts w:hint="eastAsia"/>
          <w:sz w:val="28"/>
        </w:rPr>
        <w:t>反洗钱与反恐怖融资</w:t>
      </w:r>
    </w:p>
    <w:p w14:paraId="6A3643A6">
      <w:pPr>
        <w:snapToGrid w:val="0"/>
        <w:spacing w:line="520" w:lineRule="exact"/>
        <w:ind w:firstLine="560" w:firstLineChars="200"/>
        <w:jc w:val="left"/>
        <w:rPr>
          <w:sz w:val="28"/>
        </w:rPr>
      </w:pPr>
      <w:r>
        <w:rPr>
          <w:rFonts w:hint="eastAsia"/>
          <w:sz w:val="28"/>
        </w:rPr>
        <w:t>甲乙双方应严格遵守《中华人民共和国反洗钱法》及相关法律法规，甲方不得利用监管账户从事洗钱、恐怖融资、逃税等违法犯罪活动。乙方有权按照反洗钱监管要求，对甲方资金交易进行监测、分析和报告，甲方应积极配合乙方开展客户身份识别、可疑交易报告等反洗钱工作，如实提供相关资料及信息。若甲方违反反洗钱规定，乙方有权采取暂停资金交易、冻结账户等措施，并依法向监管部门报告，由此产生的一切法律责任由甲方承担。</w:t>
      </w:r>
    </w:p>
    <w:p w14:paraId="60077869">
      <w:pPr>
        <w:snapToGrid w:val="0"/>
        <w:spacing w:line="520" w:lineRule="exact"/>
        <w:ind w:firstLine="562" w:firstLineChars="200"/>
        <w:jc w:val="left"/>
        <w:rPr>
          <w:sz w:val="28"/>
        </w:rPr>
      </w:pPr>
      <w:r>
        <w:rPr>
          <w:b/>
          <w:sz w:val="28"/>
        </w:rPr>
        <w:t>第</w:t>
      </w:r>
      <w:r>
        <w:rPr>
          <w:rFonts w:hint="eastAsia"/>
          <w:b/>
          <w:sz w:val="28"/>
        </w:rPr>
        <w:t>十六</w:t>
      </w:r>
      <w:r>
        <w:rPr>
          <w:b/>
          <w:sz w:val="28"/>
        </w:rPr>
        <w:t>条</w:t>
      </w:r>
      <w:r>
        <w:rPr>
          <w:rFonts w:hint="eastAsia"/>
          <w:b/>
          <w:sz w:val="28"/>
        </w:rPr>
        <w:t xml:space="preserve">  </w:t>
      </w:r>
      <w:r>
        <w:rPr>
          <w:rFonts w:hint="eastAsia"/>
          <w:sz w:val="28"/>
        </w:rPr>
        <w:t>消费者权益保护</w:t>
      </w:r>
    </w:p>
    <w:p w14:paraId="4D13C1BF">
      <w:pPr>
        <w:snapToGrid w:val="0"/>
        <w:spacing w:line="520" w:lineRule="exact"/>
        <w:ind w:firstLine="560" w:firstLineChars="200"/>
        <w:jc w:val="left"/>
        <w:rPr>
          <w:sz w:val="28"/>
        </w:rPr>
      </w:pPr>
      <w:r>
        <w:rPr>
          <w:rFonts w:hint="eastAsia"/>
          <w:sz w:val="28"/>
        </w:rPr>
        <w:t>乙方应遵循公平、公正、诚信原则，保障甲方作为客户的合法权益，包括但不限于个人信息保护、知情权、自主选择权和依法求偿权。除本协议约定事项外，未经甲方书面同意，乙方不得泄露甲方商业秘密、个人信息及交易数据；在提供服务过程中，应充分披露资金监管相关费用、流程及风险等信息，不得强制甲方接受不合理服务或设置不公平交易条件。若乙方因自身过错侵害甲方消费者权益，应依法承担相应赔偿责任。</w:t>
      </w:r>
    </w:p>
    <w:p w14:paraId="21EBD1D7">
      <w:pPr>
        <w:snapToGrid w:val="0"/>
        <w:spacing w:line="520" w:lineRule="exact"/>
        <w:ind w:firstLine="560" w:firstLineChars="200"/>
        <w:jc w:val="left"/>
        <w:rPr>
          <w:sz w:val="28"/>
        </w:rPr>
      </w:pPr>
    </w:p>
    <w:p w14:paraId="49119012">
      <w:pPr>
        <w:snapToGrid w:val="0"/>
        <w:spacing w:line="520" w:lineRule="exact"/>
        <w:ind w:firstLine="560" w:firstLineChars="200"/>
        <w:jc w:val="center"/>
        <w:rPr>
          <w:rFonts w:ascii="黑体" w:hAnsi="黑体" w:eastAsia="黑体"/>
          <w:sz w:val="28"/>
        </w:rPr>
      </w:pPr>
      <w:r>
        <w:rPr>
          <w:rFonts w:ascii="黑体" w:hAnsi="黑体" w:eastAsia="黑体"/>
          <w:sz w:val="28"/>
        </w:rPr>
        <w:t>第七章　违约责任和免责条款</w:t>
      </w:r>
    </w:p>
    <w:p w14:paraId="61BAA4E6">
      <w:pPr>
        <w:autoSpaceDE w:val="0"/>
        <w:autoSpaceDN w:val="0"/>
        <w:adjustRightInd w:val="0"/>
        <w:spacing w:line="520" w:lineRule="exact"/>
        <w:ind w:firstLine="562" w:firstLineChars="200"/>
        <w:rPr>
          <w:sz w:val="28"/>
        </w:rPr>
      </w:pPr>
      <w:r>
        <w:rPr>
          <w:b/>
          <w:sz w:val="28"/>
        </w:rPr>
        <w:t>第</w:t>
      </w:r>
      <w:r>
        <w:rPr>
          <w:rFonts w:hint="eastAsia"/>
          <w:b/>
          <w:sz w:val="28"/>
        </w:rPr>
        <w:t>十七</w:t>
      </w:r>
      <w:r>
        <w:rPr>
          <w:b/>
          <w:sz w:val="28"/>
        </w:rPr>
        <w:t>条</w:t>
      </w:r>
      <w:r>
        <w:rPr>
          <w:rFonts w:hint="eastAsia"/>
          <w:b/>
          <w:sz w:val="28"/>
        </w:rPr>
        <w:t xml:space="preserve"> </w:t>
      </w:r>
      <w:r>
        <w:rPr>
          <w:rFonts w:hint="eastAsia"/>
          <w:sz w:val="28"/>
        </w:rPr>
        <w:t xml:space="preserve"> 任何一方违反本协议项下的约定，均应承担违约责任，并赔偿因此给守约方造成的全部损失（包括但不限于直接经济损失、诉讼费、律师费等）。</w:t>
      </w:r>
    </w:p>
    <w:p w14:paraId="2505D8CA">
      <w:pPr>
        <w:autoSpaceDE w:val="0"/>
        <w:autoSpaceDN w:val="0"/>
        <w:adjustRightInd w:val="0"/>
        <w:spacing w:line="520" w:lineRule="exact"/>
        <w:ind w:firstLine="562" w:firstLineChars="200"/>
        <w:rPr>
          <w:sz w:val="28"/>
        </w:rPr>
      </w:pPr>
      <w:r>
        <w:rPr>
          <w:b/>
          <w:sz w:val="28"/>
        </w:rPr>
        <w:t>第</w:t>
      </w:r>
      <w:r>
        <w:rPr>
          <w:rFonts w:hint="eastAsia"/>
          <w:b/>
          <w:sz w:val="28"/>
        </w:rPr>
        <w:t>十八</w:t>
      </w:r>
      <w:r>
        <w:rPr>
          <w:b/>
          <w:sz w:val="28"/>
        </w:rPr>
        <w:t>条</w:t>
      </w:r>
      <w:r>
        <w:rPr>
          <w:rFonts w:hint="eastAsia"/>
          <w:b/>
          <w:sz w:val="28"/>
        </w:rPr>
        <w:t xml:space="preserve">  </w:t>
      </w:r>
      <w:r>
        <w:rPr>
          <w:rFonts w:ascii="宋体" w:hAnsi="宋体"/>
          <w:sz w:val="28"/>
          <w:szCs w:val="21"/>
        </w:rPr>
        <w:t>在本协议约定的专项资金监管期间，</w:t>
      </w:r>
      <w:r>
        <w:rPr>
          <w:rFonts w:hint="eastAsia" w:ascii="宋体" w:hAnsi="宋体"/>
          <w:sz w:val="28"/>
          <w:szCs w:val="21"/>
        </w:rPr>
        <w:t>如因资金余额不足、被有权机关冻结、扣划及账户解除或终止，以及其他不可归责于乙方的情形，导致乙方无法完成资金支付的，乙方无需承担任何责任。</w:t>
      </w:r>
    </w:p>
    <w:p w14:paraId="04FC11E8">
      <w:pPr>
        <w:autoSpaceDE w:val="0"/>
        <w:autoSpaceDN w:val="0"/>
        <w:adjustRightInd w:val="0"/>
        <w:spacing w:line="520" w:lineRule="exact"/>
        <w:ind w:firstLine="562" w:firstLineChars="200"/>
        <w:rPr>
          <w:rFonts w:ascii="宋体" w:hAnsi="宋体"/>
          <w:sz w:val="28"/>
          <w:szCs w:val="21"/>
        </w:rPr>
      </w:pPr>
      <w:r>
        <w:rPr>
          <w:rFonts w:hint="eastAsia" w:ascii="宋体" w:hAnsi="宋体"/>
          <w:b/>
          <w:sz w:val="28"/>
          <w:szCs w:val="21"/>
        </w:rPr>
        <w:t>第十九条</w:t>
      </w:r>
      <w:r>
        <w:rPr>
          <w:rFonts w:hint="eastAsia" w:ascii="宋体" w:hAnsi="宋体"/>
          <w:sz w:val="28"/>
          <w:szCs w:val="21"/>
        </w:rPr>
        <w:t>　如果本协议任何一方因不可抗力不能履行本协议时，可根据不可抗力的影响部分或全部免除该方的责任。不可抗力是指不能预见、不能避免且不能克服的客观情况。任何一方遭受不可抗力时，应及时通知其他方并在合理期限内提供受到不可抗力影响的证明，并采取适当措施防止其他方损失的扩大和保护资金的完整。</w:t>
      </w:r>
    </w:p>
    <w:p w14:paraId="56F84DB6">
      <w:pPr>
        <w:snapToGrid w:val="0"/>
        <w:spacing w:line="520" w:lineRule="exact"/>
        <w:ind w:firstLine="560" w:firstLineChars="200"/>
        <w:jc w:val="left"/>
        <w:rPr>
          <w:sz w:val="28"/>
        </w:rPr>
      </w:pPr>
    </w:p>
    <w:p w14:paraId="371357EB">
      <w:pPr>
        <w:snapToGrid w:val="0"/>
        <w:spacing w:line="520" w:lineRule="exact"/>
        <w:ind w:firstLine="560" w:firstLineChars="200"/>
        <w:jc w:val="left"/>
        <w:rPr>
          <w:sz w:val="28"/>
        </w:rPr>
      </w:pPr>
    </w:p>
    <w:p w14:paraId="7E6DC7BF">
      <w:pPr>
        <w:snapToGrid w:val="0"/>
        <w:spacing w:line="520" w:lineRule="exact"/>
        <w:ind w:firstLine="560" w:firstLineChars="200"/>
        <w:jc w:val="center"/>
        <w:rPr>
          <w:rFonts w:ascii="黑体" w:hAnsi="黑体" w:eastAsia="黑体"/>
          <w:sz w:val="28"/>
        </w:rPr>
      </w:pPr>
      <w:r>
        <w:rPr>
          <w:rFonts w:ascii="黑体" w:hAnsi="黑体" w:eastAsia="黑体"/>
          <w:sz w:val="28"/>
        </w:rPr>
        <w:t>第</w:t>
      </w:r>
      <w:r>
        <w:rPr>
          <w:rFonts w:hint="eastAsia" w:ascii="黑体" w:hAnsi="黑体" w:eastAsia="黑体"/>
          <w:sz w:val="28"/>
        </w:rPr>
        <w:t>八</w:t>
      </w:r>
      <w:r>
        <w:rPr>
          <w:rFonts w:ascii="黑体" w:hAnsi="黑体" w:eastAsia="黑体"/>
          <w:sz w:val="28"/>
        </w:rPr>
        <w:t>章　</w:t>
      </w:r>
      <w:r>
        <w:rPr>
          <w:rFonts w:hint="eastAsia" w:ascii="黑体" w:hAnsi="黑体" w:eastAsia="黑体"/>
          <w:sz w:val="28"/>
        </w:rPr>
        <w:t>附 则</w:t>
      </w:r>
    </w:p>
    <w:p w14:paraId="4E222186">
      <w:pPr>
        <w:snapToGrid w:val="0"/>
        <w:spacing w:line="520" w:lineRule="exact"/>
        <w:ind w:firstLine="562" w:firstLineChars="200"/>
        <w:jc w:val="left"/>
        <w:rPr>
          <w:sz w:val="28"/>
        </w:rPr>
      </w:pPr>
      <w:r>
        <w:rPr>
          <w:rFonts w:hint="eastAsia" w:ascii="宋体" w:hAnsi="宋体"/>
          <w:b/>
          <w:sz w:val="28"/>
          <w:szCs w:val="21"/>
        </w:rPr>
        <w:t xml:space="preserve">第二十条  </w:t>
      </w:r>
      <w:r>
        <w:rPr>
          <w:rFonts w:hint="eastAsia"/>
          <w:sz w:val="28"/>
        </w:rPr>
        <w:t>监管期限自双方签订协议之日起至以监管账户中的资金支付完毕或甲乙双方同意终止本协议为止。</w:t>
      </w:r>
    </w:p>
    <w:p w14:paraId="57554AEA">
      <w:pPr>
        <w:snapToGrid w:val="0"/>
        <w:spacing w:line="520" w:lineRule="exact"/>
        <w:ind w:firstLine="562" w:firstLineChars="200"/>
        <w:rPr>
          <w:sz w:val="28"/>
        </w:rPr>
      </w:pPr>
      <w:r>
        <w:rPr>
          <w:b/>
          <w:sz w:val="28"/>
        </w:rPr>
        <w:t>第</w:t>
      </w:r>
      <w:r>
        <w:rPr>
          <w:rFonts w:hint="eastAsia"/>
          <w:b/>
          <w:sz w:val="28"/>
        </w:rPr>
        <w:t>二十一</w:t>
      </w:r>
      <w:r>
        <w:rPr>
          <w:b/>
          <w:sz w:val="28"/>
        </w:rPr>
        <w:t>条</w:t>
      </w:r>
      <w:r>
        <w:rPr>
          <w:rFonts w:hint="eastAsia"/>
          <w:b/>
          <w:sz w:val="28"/>
        </w:rPr>
        <w:t xml:space="preserve">  </w:t>
      </w:r>
      <w:r>
        <w:rPr>
          <w:rFonts w:hint="eastAsia"/>
          <w:sz w:val="28"/>
        </w:rPr>
        <w:t>任何与本协议有关或因本协议引起之争议，甲乙双方应首先通过友好协商解决，协商不能解决时，向监管银行所在地人民法院提起诉讼，监管银行根据协商或仲裁或诉讼的结果处理监管资金。</w:t>
      </w:r>
    </w:p>
    <w:p w14:paraId="5FC61841">
      <w:pPr>
        <w:snapToGrid w:val="0"/>
        <w:spacing w:line="520" w:lineRule="exact"/>
        <w:ind w:firstLine="562" w:firstLineChars="200"/>
        <w:rPr>
          <w:sz w:val="28"/>
        </w:rPr>
      </w:pPr>
      <w:r>
        <w:rPr>
          <w:b/>
          <w:sz w:val="28"/>
        </w:rPr>
        <w:t>第</w:t>
      </w:r>
      <w:r>
        <w:rPr>
          <w:rFonts w:hint="eastAsia"/>
          <w:b/>
          <w:sz w:val="28"/>
        </w:rPr>
        <w:t>二十二</w:t>
      </w:r>
      <w:r>
        <w:rPr>
          <w:b/>
          <w:sz w:val="28"/>
        </w:rPr>
        <w:t>条</w:t>
      </w:r>
      <w:r>
        <w:rPr>
          <w:rFonts w:hint="eastAsia"/>
          <w:b/>
          <w:sz w:val="28"/>
        </w:rPr>
        <w:t xml:space="preserve">  </w:t>
      </w:r>
      <w:r>
        <w:rPr>
          <w:rFonts w:hint="eastAsia"/>
          <w:sz w:val="28"/>
        </w:rPr>
        <w:t>本协议未尽事宜，由甲乙双方友好协商解决，并另行签订补充协议。补充协议与本协议具有同等法律效力，若补充协议与本协议内容不一致的，以补充协议为准。</w:t>
      </w:r>
    </w:p>
    <w:p w14:paraId="33B054BC">
      <w:pPr>
        <w:snapToGrid w:val="0"/>
        <w:spacing w:line="520" w:lineRule="exact"/>
        <w:ind w:firstLine="562" w:firstLineChars="200"/>
        <w:rPr>
          <w:sz w:val="28"/>
        </w:rPr>
      </w:pPr>
      <w:r>
        <w:rPr>
          <w:b/>
          <w:sz w:val="28"/>
        </w:rPr>
        <w:t>第</w:t>
      </w:r>
      <w:r>
        <w:rPr>
          <w:rFonts w:hint="eastAsia"/>
          <w:b/>
          <w:sz w:val="28"/>
        </w:rPr>
        <w:t>二十三</w:t>
      </w:r>
      <w:r>
        <w:rPr>
          <w:b/>
          <w:sz w:val="28"/>
        </w:rPr>
        <w:t>条</w:t>
      </w:r>
      <w:r>
        <w:rPr>
          <w:rFonts w:hint="eastAsia"/>
          <w:b/>
          <w:sz w:val="28"/>
        </w:rPr>
        <w:t xml:space="preserve">  </w:t>
      </w:r>
      <w:r>
        <w:rPr>
          <w:rFonts w:hint="eastAsia"/>
          <w:sz w:val="28"/>
        </w:rPr>
        <w:t>本协议自甲乙双方法定代表人或单位负责人（或授权代理人）签字或盖章，并加盖双方单位公章之日起生效。本协议一式贰份，甲乙双方各执壹份，每份协议均具有同等法律效力。</w:t>
      </w:r>
    </w:p>
    <w:p w14:paraId="12A79A42">
      <w:pPr>
        <w:spacing w:line="520" w:lineRule="exact"/>
        <w:ind w:firstLine="562" w:firstLineChars="200"/>
        <w:rPr>
          <w:rFonts w:ascii="宋体" w:hAnsi="宋体" w:eastAsia="宋体"/>
          <w:b/>
          <w:color w:val="000000" w:themeColor="text1"/>
          <w:sz w:val="28"/>
          <w:szCs w:val="21"/>
          <w14:textFill>
            <w14:solidFill>
              <w14:schemeClr w14:val="tx1"/>
            </w14:solidFill>
          </w14:textFill>
        </w:rPr>
      </w:pPr>
      <w:r>
        <w:rPr>
          <w:rFonts w:hint="eastAsia" w:ascii="宋体" w:hAnsi="宋体" w:eastAsia="宋体"/>
          <w:b/>
          <w:color w:val="000000" w:themeColor="text1"/>
          <w:sz w:val="28"/>
          <w:szCs w:val="21"/>
          <w14:textFill>
            <w14:solidFill>
              <w14:schemeClr w14:val="tx1"/>
            </w14:solidFill>
          </w14:textFill>
        </w:rPr>
        <w:t>（以下为签署页，无正文）</w:t>
      </w:r>
    </w:p>
    <w:p w14:paraId="37205A73">
      <w:pPr>
        <w:spacing w:line="520" w:lineRule="exact"/>
        <w:rPr>
          <w:rFonts w:asciiTheme="minorEastAsia" w:hAnsiTheme="minorEastAsia"/>
          <w:color w:val="000000" w:themeColor="text1"/>
          <w:sz w:val="28"/>
          <w:szCs w:val="21"/>
          <w14:textFill>
            <w14:solidFill>
              <w14:schemeClr w14:val="tx1"/>
            </w14:solidFill>
          </w14:textFill>
        </w:rPr>
      </w:pPr>
    </w:p>
    <w:p w14:paraId="5C4FB046">
      <w:pPr>
        <w:spacing w:line="520" w:lineRule="exact"/>
        <w:rPr>
          <w:rFonts w:asciiTheme="minorEastAsia" w:hAnsiTheme="minorEastAsia"/>
          <w:color w:val="000000" w:themeColor="text1"/>
          <w:sz w:val="28"/>
          <w:szCs w:val="21"/>
          <w14:textFill>
            <w14:solidFill>
              <w14:schemeClr w14:val="tx1"/>
            </w14:solidFill>
          </w14:textFill>
        </w:rPr>
      </w:pPr>
    </w:p>
    <w:p w14:paraId="75542DE2">
      <w:pPr>
        <w:spacing w:line="520" w:lineRule="exact"/>
        <w:ind w:firstLine="560" w:firstLineChars="200"/>
        <w:rPr>
          <w:rFonts w:asciiTheme="minorEastAsia" w:hAnsiTheme="minorEastAsia"/>
          <w:color w:val="000000" w:themeColor="text1"/>
          <w:sz w:val="28"/>
          <w:szCs w:val="21"/>
          <w14:textFill>
            <w14:solidFill>
              <w14:schemeClr w14:val="tx1"/>
            </w14:solidFill>
          </w14:textFill>
        </w:rPr>
      </w:pPr>
      <w:r>
        <w:rPr>
          <w:rFonts w:hint="eastAsia" w:asciiTheme="minorEastAsia" w:hAnsiTheme="minorEastAsia"/>
          <w:color w:val="000000" w:themeColor="text1"/>
          <w:sz w:val="28"/>
          <w:szCs w:val="21"/>
          <w14:textFill>
            <w14:solidFill>
              <w14:schemeClr w14:val="tx1"/>
            </w14:solidFill>
          </w14:textFill>
        </w:rPr>
        <w:t>甲方（盖章）：</w:t>
      </w:r>
    </w:p>
    <w:p w14:paraId="75188901">
      <w:pPr>
        <w:spacing w:line="520" w:lineRule="exact"/>
        <w:ind w:firstLine="560" w:firstLineChars="200"/>
        <w:rPr>
          <w:rFonts w:asciiTheme="minorEastAsia" w:hAnsiTheme="minorEastAsia"/>
          <w:color w:val="000000" w:themeColor="text1"/>
          <w:sz w:val="28"/>
          <w:szCs w:val="21"/>
          <w14:textFill>
            <w14:solidFill>
              <w14:schemeClr w14:val="tx1"/>
            </w14:solidFill>
          </w14:textFill>
        </w:rPr>
      </w:pPr>
      <w:r>
        <w:rPr>
          <w:rFonts w:hint="eastAsia" w:asciiTheme="minorEastAsia" w:hAnsiTheme="minorEastAsia"/>
          <w:color w:val="000000" w:themeColor="text1"/>
          <w:sz w:val="28"/>
          <w:szCs w:val="21"/>
          <w14:textFill>
            <w14:solidFill>
              <w14:schemeClr w14:val="tx1"/>
            </w14:solidFill>
          </w14:textFill>
        </w:rPr>
        <w:t>法定代表人（负责人）（或授权代理人）：（签名或签章）</w:t>
      </w:r>
    </w:p>
    <w:p w14:paraId="778FE707">
      <w:pPr>
        <w:spacing w:line="520" w:lineRule="exact"/>
        <w:ind w:firstLine="560" w:firstLineChars="200"/>
        <w:rPr>
          <w:rFonts w:asciiTheme="minorEastAsia" w:hAnsiTheme="minorEastAsia"/>
          <w:color w:val="000000" w:themeColor="text1"/>
          <w:sz w:val="28"/>
          <w:szCs w:val="21"/>
          <w14:textFill>
            <w14:solidFill>
              <w14:schemeClr w14:val="tx1"/>
            </w14:solidFill>
          </w14:textFill>
        </w:rPr>
      </w:pPr>
      <w:r>
        <w:rPr>
          <w:rFonts w:hint="eastAsia" w:asciiTheme="minorEastAsia" w:hAnsiTheme="minorEastAsia"/>
          <w:color w:val="000000" w:themeColor="text1"/>
          <w:sz w:val="28"/>
          <w:szCs w:val="21"/>
          <w14:textFill>
            <w14:solidFill>
              <w14:schemeClr w14:val="tx1"/>
            </w14:solidFill>
          </w14:textFill>
        </w:rPr>
        <w:t>签订日期：      年      月       日</w:t>
      </w:r>
    </w:p>
    <w:p w14:paraId="3266267B">
      <w:pPr>
        <w:spacing w:line="520" w:lineRule="exact"/>
        <w:ind w:firstLine="560" w:firstLineChars="200"/>
        <w:rPr>
          <w:rFonts w:asciiTheme="minorEastAsia" w:hAnsiTheme="minorEastAsia"/>
          <w:color w:val="000000" w:themeColor="text1"/>
          <w:sz w:val="28"/>
          <w:szCs w:val="21"/>
          <w14:textFill>
            <w14:solidFill>
              <w14:schemeClr w14:val="tx1"/>
            </w14:solidFill>
          </w14:textFill>
        </w:rPr>
      </w:pPr>
    </w:p>
    <w:p w14:paraId="705D68F4">
      <w:pPr>
        <w:spacing w:line="520" w:lineRule="exact"/>
        <w:ind w:firstLine="560" w:firstLineChars="200"/>
        <w:rPr>
          <w:rFonts w:asciiTheme="minorEastAsia" w:hAnsiTheme="minorEastAsia"/>
          <w:color w:val="000000" w:themeColor="text1"/>
          <w:sz w:val="28"/>
          <w:szCs w:val="21"/>
          <w14:textFill>
            <w14:solidFill>
              <w14:schemeClr w14:val="tx1"/>
            </w14:solidFill>
          </w14:textFill>
        </w:rPr>
      </w:pPr>
    </w:p>
    <w:p w14:paraId="5D70DAC3">
      <w:pPr>
        <w:spacing w:line="520" w:lineRule="exact"/>
        <w:rPr>
          <w:rFonts w:asciiTheme="minorEastAsia" w:hAnsiTheme="minorEastAsia"/>
          <w:color w:val="000000" w:themeColor="text1"/>
          <w:sz w:val="28"/>
          <w:szCs w:val="21"/>
          <w14:textFill>
            <w14:solidFill>
              <w14:schemeClr w14:val="tx1"/>
            </w14:solidFill>
          </w14:textFill>
        </w:rPr>
      </w:pPr>
    </w:p>
    <w:p w14:paraId="562377A3">
      <w:pPr>
        <w:spacing w:line="520" w:lineRule="exact"/>
        <w:ind w:firstLine="560" w:firstLineChars="200"/>
        <w:rPr>
          <w:rFonts w:asciiTheme="minorEastAsia" w:hAnsiTheme="minorEastAsia"/>
          <w:color w:val="000000" w:themeColor="text1"/>
          <w:sz w:val="28"/>
          <w:szCs w:val="21"/>
          <w14:textFill>
            <w14:solidFill>
              <w14:schemeClr w14:val="tx1"/>
            </w14:solidFill>
          </w14:textFill>
        </w:rPr>
      </w:pPr>
      <w:r>
        <w:rPr>
          <w:rFonts w:hint="eastAsia" w:asciiTheme="minorEastAsia" w:hAnsiTheme="minorEastAsia"/>
          <w:color w:val="000000" w:themeColor="text1"/>
          <w:sz w:val="28"/>
          <w:szCs w:val="21"/>
          <w14:textFill>
            <w14:solidFill>
              <w14:schemeClr w14:val="tx1"/>
            </w14:solidFill>
          </w14:textFill>
        </w:rPr>
        <w:t>乙方（监管银行）（盖章）：</w:t>
      </w:r>
      <w:r>
        <w:rPr>
          <w:rFonts w:asciiTheme="minorEastAsia" w:hAnsiTheme="minorEastAsia"/>
          <w:color w:val="000000" w:themeColor="text1"/>
          <w:sz w:val="28"/>
          <w:szCs w:val="21"/>
          <w14:textFill>
            <w14:solidFill>
              <w14:schemeClr w14:val="tx1"/>
            </w14:solidFill>
          </w14:textFill>
        </w:rPr>
        <w:t xml:space="preserve"> </w:t>
      </w:r>
    </w:p>
    <w:p w14:paraId="5E8663EC">
      <w:pPr>
        <w:spacing w:line="520" w:lineRule="exact"/>
        <w:ind w:firstLine="560" w:firstLineChars="200"/>
        <w:rPr>
          <w:rFonts w:asciiTheme="minorEastAsia" w:hAnsiTheme="minorEastAsia"/>
          <w:color w:val="000000" w:themeColor="text1"/>
          <w:sz w:val="28"/>
          <w:szCs w:val="21"/>
          <w14:textFill>
            <w14:solidFill>
              <w14:schemeClr w14:val="tx1"/>
            </w14:solidFill>
          </w14:textFill>
        </w:rPr>
      </w:pPr>
      <w:r>
        <w:rPr>
          <w:rFonts w:hint="eastAsia" w:asciiTheme="minorEastAsia" w:hAnsiTheme="minorEastAsia"/>
          <w:color w:val="000000" w:themeColor="text1"/>
          <w:sz w:val="28"/>
          <w:szCs w:val="21"/>
          <w14:textFill>
            <w14:solidFill>
              <w14:schemeClr w14:val="tx1"/>
            </w14:solidFill>
          </w14:textFill>
        </w:rPr>
        <w:t>法定代表人（负责人）（或授权代理人）：（签名或签章）</w:t>
      </w:r>
    </w:p>
    <w:p w14:paraId="5E8F4E87">
      <w:pPr>
        <w:spacing w:line="520" w:lineRule="exact"/>
        <w:ind w:firstLine="560" w:firstLineChars="200"/>
        <w:rPr>
          <w:rFonts w:asciiTheme="minorEastAsia" w:hAnsiTheme="minorEastAsia"/>
          <w:color w:val="000000" w:themeColor="text1"/>
          <w:sz w:val="28"/>
          <w:szCs w:val="21"/>
          <w14:textFill>
            <w14:solidFill>
              <w14:schemeClr w14:val="tx1"/>
            </w14:solidFill>
          </w14:textFill>
        </w:rPr>
      </w:pPr>
      <w:r>
        <w:rPr>
          <w:rFonts w:hint="eastAsia" w:asciiTheme="minorEastAsia" w:hAnsiTheme="minorEastAsia"/>
          <w:color w:val="000000" w:themeColor="text1"/>
          <w:sz w:val="28"/>
          <w:szCs w:val="21"/>
          <w14:textFill>
            <w14:solidFill>
              <w14:schemeClr w14:val="tx1"/>
            </w14:solidFill>
          </w14:textFill>
        </w:rPr>
        <w:t>签订日期：      年      月       日</w:t>
      </w:r>
    </w:p>
    <w:p w14:paraId="520586A9">
      <w:pPr>
        <w:spacing w:line="520" w:lineRule="exact"/>
        <w:rPr>
          <w:rFonts w:asciiTheme="minorEastAsia" w:hAnsiTheme="minorEastAsia"/>
          <w:color w:val="000000" w:themeColor="text1"/>
          <w:sz w:val="28"/>
          <w:szCs w:val="21"/>
          <w14:textFill>
            <w14:solidFill>
              <w14:schemeClr w14:val="tx1"/>
            </w14:solidFill>
          </w14:textFill>
        </w:rPr>
      </w:pPr>
    </w:p>
    <w:p w14:paraId="3D493479">
      <w:pPr>
        <w:snapToGrid w:val="0"/>
        <w:spacing w:line="520" w:lineRule="exact"/>
        <w:ind w:firstLine="560" w:firstLineChars="200"/>
        <w:jc w:val="left"/>
        <w:rPr>
          <w:sz w:val="28"/>
        </w:rPr>
      </w:pPr>
      <w:r>
        <w:rPr>
          <w:rFonts w:hint="eastAsia"/>
          <w:sz w:val="28"/>
        </w:rPr>
        <w:t>签署地点：中山市</w:t>
      </w:r>
    </w:p>
    <w:p w14:paraId="42C07A76">
      <w:pPr>
        <w:spacing w:line="520" w:lineRule="exact"/>
        <w:rPr>
          <w:rFonts w:asciiTheme="minorEastAsia" w:hAnsiTheme="minorEastAsia"/>
          <w:color w:val="000000" w:themeColor="text1"/>
          <w:sz w:val="28"/>
          <w:szCs w:val="21"/>
          <w14:textFill>
            <w14:solidFill>
              <w14:schemeClr w14:val="tx1"/>
            </w14:solidFill>
          </w14:textFill>
        </w:rPr>
      </w:pPr>
    </w:p>
    <w:p w14:paraId="43E35603">
      <w:pPr>
        <w:spacing w:line="520" w:lineRule="exact"/>
        <w:rPr>
          <w:rFonts w:ascii="宋体" w:hAnsi="宋体" w:eastAsia="宋体"/>
          <w:color w:val="000000" w:themeColor="text1"/>
          <w:sz w:val="28"/>
          <w:szCs w:val="21"/>
          <w14:textFill>
            <w14:solidFill>
              <w14:schemeClr w14:val="tx1"/>
            </w14:solidFill>
          </w14:textFill>
        </w:rPr>
      </w:pPr>
    </w:p>
    <w:p w14:paraId="4F7ED382">
      <w:pPr>
        <w:snapToGrid w:val="0"/>
        <w:spacing w:line="520" w:lineRule="exact"/>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E92"/>
    <w:rsid w:val="00032029"/>
    <w:rsid w:val="000437DC"/>
    <w:rsid w:val="00051E92"/>
    <w:rsid w:val="000C24E7"/>
    <w:rsid w:val="000C391D"/>
    <w:rsid w:val="000D733C"/>
    <w:rsid w:val="0011498F"/>
    <w:rsid w:val="00136C7D"/>
    <w:rsid w:val="001846B1"/>
    <w:rsid w:val="001B3276"/>
    <w:rsid w:val="001C7CF8"/>
    <w:rsid w:val="0021497D"/>
    <w:rsid w:val="00222CB0"/>
    <w:rsid w:val="00246BF6"/>
    <w:rsid w:val="0027160F"/>
    <w:rsid w:val="00280BB5"/>
    <w:rsid w:val="002D47F7"/>
    <w:rsid w:val="002F21FA"/>
    <w:rsid w:val="00322A10"/>
    <w:rsid w:val="00361731"/>
    <w:rsid w:val="003823E7"/>
    <w:rsid w:val="003C16E7"/>
    <w:rsid w:val="003E5182"/>
    <w:rsid w:val="004405C8"/>
    <w:rsid w:val="0046085A"/>
    <w:rsid w:val="0048746A"/>
    <w:rsid w:val="004B57F4"/>
    <w:rsid w:val="004C2770"/>
    <w:rsid w:val="004D4C8C"/>
    <w:rsid w:val="0058193A"/>
    <w:rsid w:val="005C250B"/>
    <w:rsid w:val="0062363B"/>
    <w:rsid w:val="00627204"/>
    <w:rsid w:val="00637FC8"/>
    <w:rsid w:val="00687608"/>
    <w:rsid w:val="00691F90"/>
    <w:rsid w:val="006A34B2"/>
    <w:rsid w:val="006A4902"/>
    <w:rsid w:val="006E1DDF"/>
    <w:rsid w:val="00710A7B"/>
    <w:rsid w:val="00771069"/>
    <w:rsid w:val="007D17F0"/>
    <w:rsid w:val="007D5357"/>
    <w:rsid w:val="008201A7"/>
    <w:rsid w:val="00830570"/>
    <w:rsid w:val="00876F82"/>
    <w:rsid w:val="00881A8F"/>
    <w:rsid w:val="00896EAC"/>
    <w:rsid w:val="008A50AD"/>
    <w:rsid w:val="008C0466"/>
    <w:rsid w:val="008D2F56"/>
    <w:rsid w:val="00913C86"/>
    <w:rsid w:val="00957589"/>
    <w:rsid w:val="00961204"/>
    <w:rsid w:val="009C3524"/>
    <w:rsid w:val="009C3A1B"/>
    <w:rsid w:val="009D200D"/>
    <w:rsid w:val="00A12903"/>
    <w:rsid w:val="00A23ED2"/>
    <w:rsid w:val="00A27979"/>
    <w:rsid w:val="00A67A3D"/>
    <w:rsid w:val="00A900AF"/>
    <w:rsid w:val="00A94914"/>
    <w:rsid w:val="00AA67D3"/>
    <w:rsid w:val="00AC759B"/>
    <w:rsid w:val="00B730E5"/>
    <w:rsid w:val="00B85660"/>
    <w:rsid w:val="00BA6C4F"/>
    <w:rsid w:val="00C26564"/>
    <w:rsid w:val="00C37045"/>
    <w:rsid w:val="00C67F85"/>
    <w:rsid w:val="00C86FEC"/>
    <w:rsid w:val="00CA2E0D"/>
    <w:rsid w:val="00CB729A"/>
    <w:rsid w:val="00CD641F"/>
    <w:rsid w:val="00D0263F"/>
    <w:rsid w:val="00D1127A"/>
    <w:rsid w:val="00E74056"/>
    <w:rsid w:val="00EE3EF5"/>
    <w:rsid w:val="00F24FCB"/>
    <w:rsid w:val="00F56763"/>
    <w:rsid w:val="00F61461"/>
    <w:rsid w:val="00F61FB9"/>
    <w:rsid w:val="00F739E8"/>
    <w:rsid w:val="00F968D9"/>
    <w:rsid w:val="00FC2D28"/>
    <w:rsid w:val="00FC3B67"/>
    <w:rsid w:val="05A34F7F"/>
    <w:rsid w:val="543E66AC"/>
    <w:rsid w:val="57B96EC0"/>
    <w:rsid w:val="6D2F1DCC"/>
    <w:rsid w:val="7BDEF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8FD95917-56F6-4B43-95C2-E2025AAC81D9}">
  <ds:schemaRefs/>
</ds:datastoreItem>
</file>

<file path=docProps/app.xml><?xml version="1.0" encoding="utf-8"?>
<Properties xmlns="http://schemas.openxmlformats.org/officeDocument/2006/extended-properties" xmlns:vt="http://schemas.openxmlformats.org/officeDocument/2006/docPropsVTypes">
  <Template>Normal</Template>
  <Pages>8</Pages>
  <Words>3407</Words>
  <Characters>3408</Characters>
  <Lines>26</Lines>
  <Paragraphs>7</Paragraphs>
  <TotalTime>1188</TotalTime>
  <ScaleCrop>false</ScaleCrop>
  <LinksUpToDate>false</LinksUpToDate>
  <CharactersWithSpaces>3631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2025-11-14T06:25:00Z</dcterms:created>
  <dc:creator>null</dc:creator>
  <cp:lastModifiedBy>郭凯雯</cp:lastModifiedBy>
  <dcterms:modified xsi:type="dcterms:W3CDTF">2025-11-24T09:19:07Z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6F102220E3AD566E69FA16699553CC75</vt:lpwstr>
  </property>
  <property fmtid="{D5CDD505-2E9C-101B-9397-08002B2CF9AE}" pid="4" name="KSOTemplateDocerSaveRecord">
    <vt:lpwstr>eyJoZGlkIjoiMTZmYzlhNjI0ZjNjYTM4YzZjYjcyOWYyMzJkODcxYWYiLCJ1c2VySWQiOiI1MDA5OTA5MTgifQ==</vt:lpwstr>
  </property>
</Properties>
</file>