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1AF7B">
      <w:pPr>
        <w:snapToGrid w:val="0"/>
        <w:spacing w:line="570" w:lineRule="exact"/>
        <w:jc w:val="center"/>
        <w:rPr>
          <w:rFonts w:ascii="Times New Roman" w:hAnsi="Times New Roman" w:eastAsia="方正小标宋简体" w:cs="Times New Roman"/>
          <w:spacing w:val="-6"/>
          <w:sz w:val="44"/>
          <w:szCs w:val="44"/>
        </w:rPr>
      </w:pPr>
      <w:r>
        <w:rPr>
          <w:rFonts w:hint="eastAsia" w:ascii="Times New Roman" w:hAnsi="Times New Roman" w:eastAsia="方正小标宋简体" w:cs="Times New Roman"/>
          <w:spacing w:val="-6"/>
          <w:sz w:val="44"/>
          <w:szCs w:val="44"/>
        </w:rPr>
        <w:t>南头镇</w:t>
      </w:r>
      <w:r>
        <w:rPr>
          <w:rFonts w:ascii="Times New Roman" w:hAnsi="Times New Roman" w:eastAsia="方正小标宋简体" w:cs="Times New Roman"/>
          <w:spacing w:val="-6"/>
          <w:sz w:val="44"/>
          <w:szCs w:val="44"/>
        </w:rPr>
        <w:t>中山市永琛汽车配件有限公司</w:t>
      </w:r>
      <w:r>
        <w:rPr>
          <w:rFonts w:hint="eastAsia" w:ascii="Times New Roman" w:hAnsi="Times New Roman" w:eastAsia="方正小标宋简体" w:cs="Times New Roman"/>
          <w:spacing w:val="-6"/>
          <w:sz w:val="44"/>
          <w:szCs w:val="44"/>
        </w:rPr>
        <w:t>“工改工”宗地“三旧”改造项目改造方案</w:t>
      </w:r>
    </w:p>
    <w:p w14:paraId="389EC2E6">
      <w:pPr>
        <w:spacing w:line="400" w:lineRule="exact"/>
        <w:jc w:val="center"/>
        <w:rPr>
          <w:b/>
          <w:bCs/>
          <w:sz w:val="32"/>
          <w:szCs w:val="32"/>
        </w:rPr>
      </w:pPr>
    </w:p>
    <w:p w14:paraId="75058AB3">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根据现行控制性详细规划，南头镇人民政府拟对位于中山市南头镇</w:t>
      </w:r>
      <w:r>
        <w:rPr>
          <w:rFonts w:ascii="仿宋_GB2312" w:hAnsi="仿宋_GB2312" w:eastAsia="仿宋_GB2312" w:cs="仿宋_GB2312"/>
          <w:spacing w:val="-6"/>
          <w:kern w:val="0"/>
          <w:sz w:val="32"/>
          <w:szCs w:val="32"/>
        </w:rPr>
        <w:t>东福北路35号中山市永琛汽车配件有限公司</w:t>
      </w:r>
      <w:r>
        <w:rPr>
          <w:rFonts w:hint="eastAsia" w:ascii="仿宋_GB2312" w:hAnsi="仿宋_GB2312" w:eastAsia="仿宋_GB2312" w:cs="仿宋_GB2312"/>
          <w:spacing w:val="-6"/>
          <w:kern w:val="0"/>
          <w:sz w:val="32"/>
          <w:szCs w:val="32"/>
        </w:rPr>
        <w:t>的低效工业用地进行改造，由产权人</w:t>
      </w:r>
      <w:r>
        <w:rPr>
          <w:rFonts w:ascii="仿宋_GB2312" w:hAnsi="仿宋_GB2312" w:eastAsia="仿宋_GB2312" w:cs="仿宋_GB2312"/>
          <w:spacing w:val="-6"/>
          <w:kern w:val="0"/>
          <w:sz w:val="32"/>
          <w:szCs w:val="32"/>
        </w:rPr>
        <w:t>中山市永琛汽车配件有限公司</w:t>
      </w:r>
      <w:r>
        <w:rPr>
          <w:rFonts w:hint="eastAsia" w:ascii="仿宋_GB2312" w:hAnsi="仿宋_GB2312" w:eastAsia="仿宋_GB2312" w:cs="仿宋_GB2312"/>
          <w:spacing w:val="-6"/>
          <w:kern w:val="0"/>
          <w:sz w:val="32"/>
          <w:szCs w:val="32"/>
        </w:rPr>
        <w:t>作为改造主体进行自主改造，采取</w:t>
      </w:r>
      <w:r>
        <w:rPr>
          <w:rFonts w:ascii="仿宋_GB2312" w:hAnsi="仿宋_GB2312" w:eastAsia="仿宋_GB2312" w:cs="仿宋_GB2312"/>
          <w:spacing w:val="-6"/>
          <w:kern w:val="0"/>
          <w:sz w:val="32"/>
          <w:szCs w:val="32"/>
        </w:rPr>
        <w:t>全面改造</w:t>
      </w:r>
      <w:r>
        <w:rPr>
          <w:rFonts w:hint="eastAsia" w:ascii="仿宋_GB2312" w:hAnsi="仿宋_GB2312" w:eastAsia="仿宋_GB2312" w:cs="仿宋_GB2312"/>
          <w:spacing w:val="-6"/>
          <w:kern w:val="0"/>
          <w:sz w:val="32"/>
          <w:szCs w:val="32"/>
        </w:rPr>
        <w:t>的改造方式。改造方案如下:</w:t>
      </w:r>
    </w:p>
    <w:p w14:paraId="532097E2">
      <w:pPr>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一、地块基本情况</w:t>
      </w:r>
    </w:p>
    <w:p w14:paraId="4344FB52">
      <w:pPr>
        <w:ind w:firstLine="616" w:firstLineChars="200"/>
        <w:rPr>
          <w:rFonts w:ascii="仿宋" w:hAnsi="仿宋" w:eastAsia="仿宋" w:cs="仿宋"/>
          <w:sz w:val="28"/>
          <w:szCs w:val="28"/>
        </w:rPr>
      </w:pPr>
      <w:r>
        <w:rPr>
          <w:rFonts w:hint="eastAsia" w:ascii="仿宋_GB2312" w:hAnsi="仿宋_GB2312" w:eastAsia="仿宋_GB2312" w:cs="仿宋_GB2312"/>
          <w:spacing w:val="-6"/>
          <w:kern w:val="0"/>
          <w:sz w:val="32"/>
          <w:szCs w:val="32"/>
        </w:rPr>
        <w:t>（一）总体情况</w:t>
      </w:r>
    </w:p>
    <w:p w14:paraId="79256F5A">
      <w:pPr>
        <w:ind w:firstLine="616" w:firstLineChars="200"/>
        <w:rPr>
          <w:rFonts w:ascii="仿宋" w:hAnsi="仿宋" w:eastAsia="仿宋" w:cs="仿宋"/>
          <w:sz w:val="28"/>
          <w:szCs w:val="28"/>
        </w:rPr>
      </w:pPr>
      <w:r>
        <w:rPr>
          <w:rFonts w:hint="eastAsia" w:ascii="仿宋_GB2312" w:hAnsi="仿宋_GB2312" w:eastAsia="仿宋_GB2312" w:cs="仿宋_GB2312"/>
          <w:spacing w:val="-6"/>
          <w:sz w:val="32"/>
          <w:szCs w:val="32"/>
        </w:rPr>
        <w:t>项目地块</w:t>
      </w:r>
      <w:r>
        <w:rPr>
          <w:rFonts w:hint="eastAsia" w:ascii="仿宋_GB2312" w:hAnsi="仿宋_GB2312" w:eastAsia="仿宋_GB2312" w:cs="仿宋_GB2312"/>
          <w:spacing w:val="-6"/>
          <w:kern w:val="0"/>
          <w:sz w:val="32"/>
          <w:szCs w:val="32"/>
        </w:rPr>
        <w:t>位于</w:t>
      </w:r>
      <w:r>
        <w:rPr>
          <w:rFonts w:hint="eastAsia" w:ascii="仿宋_GB2312" w:hAnsi="仿宋_GB2312" w:eastAsia="仿宋_GB2312" w:cs="仿宋_GB2312"/>
          <w:spacing w:val="-6"/>
          <w:sz w:val="32"/>
        </w:rPr>
        <w:t>南头镇东福北路35号</w:t>
      </w:r>
      <w:r>
        <w:rPr>
          <w:rFonts w:hint="eastAsia" w:ascii="仿宋_GB2312" w:hAnsi="仿宋_GB2312" w:eastAsia="仿宋_GB2312" w:cs="仿宋_GB2312"/>
          <w:spacing w:val="-6"/>
          <w:kern w:val="0"/>
          <w:sz w:val="32"/>
          <w:szCs w:val="32"/>
        </w:rPr>
        <w:t>，北至永辉路，西至东福北路，东至河涌，南至诚信路，用地面积6.14公顷（61401.6平方米，折合约92.1亩）。</w:t>
      </w:r>
    </w:p>
    <w:p w14:paraId="3F1D41EB">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（二）标图入库情况</w:t>
      </w:r>
    </w:p>
    <w:p w14:paraId="3CAA3775">
      <w:pPr>
        <w:ind w:firstLine="616" w:firstLineChars="200"/>
        <w:rPr>
          <w:rFonts w:ascii="仿宋" w:hAnsi="仿宋" w:eastAsia="仿宋" w:cs="仿宋"/>
          <w:sz w:val="28"/>
          <w:szCs w:val="28"/>
        </w:rPr>
      </w:pPr>
      <w:r>
        <w:rPr>
          <w:rFonts w:hint="eastAsia" w:ascii="仿宋_GB2312" w:hAnsi="仿宋_GB2312" w:eastAsia="仿宋_GB2312" w:cs="仿宋_GB2312"/>
          <w:spacing w:val="-6"/>
          <w:kern w:val="0"/>
          <w:sz w:val="32"/>
          <w:szCs w:val="32"/>
        </w:rPr>
        <w:t>改造地块正在同步办理标图入库手续</w:t>
      </w:r>
      <w:r>
        <w:rPr>
          <w:rFonts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rPr>
        <w:t>图斑号为44200068145。</w:t>
      </w:r>
    </w:p>
    <w:p w14:paraId="0409B65A">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（三）权属情况</w:t>
      </w:r>
    </w:p>
    <w:p w14:paraId="4FB8420B">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改造地块属国有建设用地，土地用途为工业，改造涉及的土地已经确权、登记，</w:t>
      </w:r>
      <w:r>
        <w:rPr>
          <w:rFonts w:hint="eastAsia" w:ascii="仿宋_GB2312" w:hAnsi="仿宋_GB2312" w:eastAsia="仿宋_GB2312" w:cs="仿宋_GB2312"/>
          <w:sz w:val="32"/>
          <w:szCs w:val="32"/>
        </w:rPr>
        <w:t>土地证号为：粤（20</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）中山市不动产权第</w:t>
      </w:r>
      <w:r>
        <w:rPr>
          <w:rFonts w:ascii="仿宋_GB2312" w:hAnsi="仿宋_GB2312" w:eastAsia="仿宋_GB2312" w:cs="仿宋_GB2312"/>
          <w:sz w:val="32"/>
          <w:szCs w:val="32"/>
        </w:rPr>
        <w:t>0550773</w:t>
      </w:r>
      <w:r>
        <w:rPr>
          <w:rFonts w:hint="eastAsia" w:ascii="仿宋_GB2312" w:hAnsi="仿宋_GB2312" w:eastAsia="仿宋_GB2312" w:cs="仿宋_GB2312"/>
          <w:sz w:val="32"/>
          <w:szCs w:val="32"/>
        </w:rPr>
        <w:t>号，为土地产</w:t>
      </w:r>
      <w:r>
        <w:rPr>
          <w:rFonts w:hint="eastAsia" w:ascii="仿宋_GB2312" w:hAnsi="仿宋_GB2312" w:eastAsia="仿宋_GB2312" w:cs="仿宋_GB2312"/>
          <w:spacing w:val="-6"/>
          <w:kern w:val="0"/>
          <w:sz w:val="32"/>
          <w:szCs w:val="32"/>
        </w:rPr>
        <w:t>权人</w:t>
      </w:r>
      <w:r>
        <w:rPr>
          <w:rFonts w:ascii="仿宋_GB2312" w:hAnsi="仿宋_GB2312" w:eastAsia="仿宋_GB2312" w:cs="仿宋_GB2312"/>
          <w:spacing w:val="-6"/>
          <w:kern w:val="0"/>
          <w:sz w:val="32"/>
          <w:szCs w:val="32"/>
        </w:rPr>
        <w:t>中山市永琛汽车配件有限公司</w:t>
      </w:r>
      <w:r>
        <w:rPr>
          <w:rFonts w:hint="eastAsia" w:ascii="仿宋_GB2312" w:hAnsi="仿宋_GB2312" w:eastAsia="仿宋_GB2312" w:cs="仿宋_GB2312"/>
          <w:spacing w:val="-6"/>
          <w:kern w:val="0"/>
          <w:sz w:val="32"/>
          <w:szCs w:val="32"/>
        </w:rPr>
        <w:t>自20</w:t>
      </w:r>
      <w:r>
        <w:rPr>
          <w:rFonts w:ascii="仿宋_GB2312" w:hAnsi="仿宋_GB2312" w:eastAsia="仿宋_GB2312" w:cs="仿宋_GB2312"/>
          <w:spacing w:val="-6"/>
          <w:kern w:val="0"/>
          <w:sz w:val="32"/>
          <w:szCs w:val="32"/>
        </w:rPr>
        <w:t>25</w:t>
      </w:r>
      <w:r>
        <w:rPr>
          <w:rFonts w:hint="eastAsia" w:ascii="仿宋_GB2312" w:hAnsi="仿宋_GB2312" w:eastAsia="仿宋_GB2312" w:cs="仿宋_GB2312"/>
          <w:spacing w:val="-6"/>
          <w:kern w:val="0"/>
          <w:sz w:val="32"/>
          <w:szCs w:val="32"/>
        </w:rPr>
        <w:t>年</w:t>
      </w:r>
      <w:r>
        <w:rPr>
          <w:rFonts w:ascii="仿宋_GB2312" w:hAnsi="仿宋_GB2312" w:eastAsia="仿宋_GB2312" w:cs="仿宋_GB2312"/>
          <w:spacing w:val="-6"/>
          <w:kern w:val="0"/>
          <w:sz w:val="32"/>
          <w:szCs w:val="32"/>
        </w:rPr>
        <w:t>11</w:t>
      </w:r>
      <w:r>
        <w:rPr>
          <w:rFonts w:hint="eastAsia" w:ascii="仿宋_GB2312" w:hAnsi="仿宋_GB2312" w:eastAsia="仿宋_GB2312" w:cs="仿宋_GB2312"/>
          <w:spacing w:val="-6"/>
          <w:kern w:val="0"/>
          <w:sz w:val="32"/>
          <w:szCs w:val="32"/>
        </w:rPr>
        <w:t>月开始使用。</w:t>
      </w:r>
    </w:p>
    <w:p w14:paraId="3C992918">
      <w:pPr>
        <w:ind w:firstLine="616" w:firstLineChars="200"/>
        <w:rPr>
          <w:rFonts w:ascii="仿宋" w:hAnsi="仿宋" w:eastAsia="仿宋" w:cs="仿宋"/>
          <w:sz w:val="28"/>
          <w:szCs w:val="28"/>
        </w:rPr>
      </w:pPr>
      <w:r>
        <w:rPr>
          <w:rFonts w:hint="eastAsia" w:ascii="仿宋_GB2312" w:hAnsi="仿宋_GB2312" w:eastAsia="仿宋_GB2312" w:cs="仿宋_GB2312"/>
          <w:spacing w:val="-6"/>
          <w:kern w:val="0"/>
          <w:sz w:val="32"/>
          <w:szCs w:val="32"/>
        </w:rPr>
        <w:t>（四）土地利用现状情况</w:t>
      </w:r>
    </w:p>
    <w:p w14:paraId="64B2AC0B">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改造范围内现有8栋建筑物，自20</w:t>
      </w:r>
      <w:r>
        <w:rPr>
          <w:rFonts w:hint="eastAsia" w:ascii="仿宋_GB2312" w:hAnsi="仿宋_GB2312" w:eastAsia="仿宋_GB2312" w:cs="仿宋_GB2312"/>
          <w:spacing w:val="-6"/>
          <w:kern w:val="0"/>
          <w:sz w:val="32"/>
          <w:szCs w:val="32"/>
          <w:lang w:val="en-US" w:eastAsia="zh-CN"/>
        </w:rPr>
        <w:t>09</w:t>
      </w:r>
      <w:r>
        <w:rPr>
          <w:rFonts w:hint="eastAsia" w:ascii="仿宋_GB2312" w:hAnsi="仿宋_GB2312" w:eastAsia="仿宋_GB2312" w:cs="仿宋_GB2312"/>
          <w:spacing w:val="-6"/>
          <w:kern w:val="0"/>
          <w:sz w:val="32"/>
          <w:szCs w:val="32"/>
        </w:rPr>
        <w:t>年开始使用。现有建筑面积57252.75平方米，已办理不动产登记手续，现状容积率0.93，作工业用途。目前未拆除现状建筑物。改造前年产值约为10000万元（折合约108.58万元/亩），年税收约为5</w:t>
      </w:r>
      <w:r>
        <w:rPr>
          <w:rFonts w:ascii="仿宋_GB2312" w:hAnsi="仿宋_GB2312" w:eastAsia="仿宋_GB2312" w:cs="仿宋_GB2312"/>
          <w:spacing w:val="-6"/>
          <w:kern w:val="0"/>
          <w:sz w:val="32"/>
          <w:szCs w:val="32"/>
        </w:rPr>
        <w:t>00</w:t>
      </w:r>
      <w:r>
        <w:rPr>
          <w:rFonts w:hint="eastAsia" w:ascii="仿宋_GB2312" w:hAnsi="仿宋_GB2312" w:eastAsia="仿宋_GB2312" w:cs="仿宋_GB2312"/>
          <w:spacing w:val="-6"/>
          <w:kern w:val="0"/>
          <w:sz w:val="32"/>
          <w:szCs w:val="32"/>
        </w:rPr>
        <w:t>万元（折合约5.43万元/亩）。</w:t>
      </w:r>
    </w:p>
    <w:p w14:paraId="6A7E46BF">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改造主体地块</w:t>
      </w:r>
      <w:r>
        <w:rPr>
          <w:rFonts w:ascii="仿宋_GB2312" w:hAnsi="仿宋_GB2312" w:eastAsia="仿宋_GB2312" w:cs="仿宋_GB2312"/>
          <w:spacing w:val="-6"/>
          <w:kern w:val="0"/>
          <w:sz w:val="32"/>
          <w:szCs w:val="32"/>
        </w:rPr>
        <w:t>不涉及</w:t>
      </w:r>
      <w:r>
        <w:rPr>
          <w:rFonts w:hint="eastAsia" w:ascii="仿宋_GB2312" w:hAnsi="仿宋_GB2312" w:eastAsia="仿宋_GB2312" w:cs="仿宋_GB2312"/>
          <w:spacing w:val="-6"/>
          <w:kern w:val="0"/>
          <w:sz w:val="32"/>
          <w:szCs w:val="32"/>
        </w:rPr>
        <w:t>闲置、</w:t>
      </w:r>
      <w:r>
        <w:rPr>
          <w:rFonts w:ascii="仿宋_GB2312" w:hAnsi="仿宋_GB2312" w:eastAsia="仿宋_GB2312" w:cs="仿宋_GB2312"/>
          <w:spacing w:val="-6"/>
          <w:kern w:val="0"/>
          <w:sz w:val="32"/>
          <w:szCs w:val="32"/>
        </w:rPr>
        <w:t>查封、历史文化资源要素</w:t>
      </w:r>
      <w:r>
        <w:rPr>
          <w:rFonts w:hint="eastAsia" w:ascii="仿宋_GB2312" w:hAnsi="仿宋_GB2312" w:eastAsia="仿宋_GB2312" w:cs="仿宋_GB2312"/>
          <w:spacing w:val="-6"/>
          <w:kern w:val="0"/>
          <w:sz w:val="32"/>
          <w:szCs w:val="32"/>
        </w:rPr>
        <w:t>、森林资源、土壤环境潜在监管地块</w:t>
      </w:r>
      <w:r>
        <w:rPr>
          <w:rFonts w:ascii="仿宋_GB2312" w:hAnsi="仿宋_GB2312" w:eastAsia="仿宋_GB2312" w:cs="仿宋_GB2312"/>
          <w:spacing w:val="-6"/>
          <w:kern w:val="0"/>
          <w:sz w:val="32"/>
          <w:szCs w:val="32"/>
        </w:rPr>
        <w:t>等情况</w:t>
      </w:r>
      <w:r>
        <w:rPr>
          <w:rFonts w:hint="eastAsia" w:ascii="仿宋_GB2312" w:hAnsi="仿宋_GB2312" w:eastAsia="仿宋_GB2312" w:cs="仿宋_GB2312"/>
          <w:spacing w:val="-6"/>
          <w:kern w:val="0"/>
          <w:sz w:val="32"/>
          <w:szCs w:val="32"/>
        </w:rPr>
        <w:t>。</w:t>
      </w:r>
    </w:p>
    <w:p w14:paraId="51A22A8A">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（五）规划情况</w:t>
      </w:r>
    </w:p>
    <w:p w14:paraId="7B278EA6">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改造地块</w:t>
      </w:r>
      <w:r>
        <w:rPr>
          <w:rFonts w:hint="eastAsia" w:ascii="Times New Roman" w:hAnsi="Times New Roman" w:eastAsia="仿宋_GB2312" w:cs="Times New Roman"/>
          <w:spacing w:val="-6"/>
          <w:kern w:val="0"/>
          <w:sz w:val="32"/>
          <w:szCs w:val="32"/>
        </w:rPr>
        <w:t>已</w:t>
      </w:r>
      <w:r>
        <w:rPr>
          <w:rFonts w:ascii="Times New Roman" w:hAnsi="Times New Roman" w:eastAsia="仿宋_GB2312" w:cs="Times New Roman"/>
          <w:spacing w:val="-6"/>
          <w:kern w:val="0"/>
          <w:sz w:val="32"/>
          <w:szCs w:val="32"/>
        </w:rPr>
        <w:t>纳入《中山市城市更新（‘三旧’改造）专项规划（2020-2035）》</w:t>
      </w:r>
      <w:r>
        <w:rPr>
          <w:rFonts w:hint="eastAsia" w:ascii="Times New Roman" w:hAnsi="Times New Roman" w:eastAsia="仿宋_GB2312" w:cs="Times New Roman"/>
          <w:spacing w:val="-6"/>
          <w:kern w:val="0"/>
          <w:sz w:val="32"/>
          <w:szCs w:val="32"/>
        </w:rPr>
        <w:t>，</w:t>
      </w:r>
      <w:r>
        <w:rPr>
          <w:rFonts w:hint="eastAsia" w:ascii="仿宋_GB2312" w:hAnsi="仿宋_GB2312" w:eastAsia="仿宋_GB2312" w:cs="仿宋_GB2312"/>
          <w:spacing w:val="-6"/>
          <w:kern w:val="0"/>
          <w:sz w:val="32"/>
          <w:szCs w:val="32"/>
        </w:rPr>
        <w:t>符合国土空间总体规划及控制性详细规划。其中，2009年土地利用现状地类为建设用地6.14公顷（61401.6平方米，折合约92.1亩），最新土地利用现状地类为建设用地6.14公顷（61401.6平方米，折合约92.1亩）；在国土空间总体规划中，属城乡建设用地6.14公顷（61401.6平方米，折合约92.1亩）；在《南头镇升辉北路以东用地控制性详细规划调整》（中府办函〔2014〕330号）中，一类工业用地5.8228公顷（58227.86平方米，折合约87.3亩），规划容积率1-3.5,建筑密度35%-60%，绿地率10%-15%，建筑高度50米</w:t>
      </w:r>
      <w:r>
        <w:rPr>
          <w:rFonts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rPr>
        <w:t>道路用地0.3174公顷（3173.74平方米，折合约4.8亩）。</w:t>
      </w:r>
    </w:p>
    <w:p w14:paraId="3BF28554">
      <w:pPr>
        <w:ind w:firstLine="616" w:firstLineChars="200"/>
        <w:rPr>
          <w:rFonts w:ascii="仿宋_GB2312" w:hAnsi="仿宋_GB2312" w:eastAsia="仿宋_GB2312" w:cs="仿宋_GB2312"/>
          <w:spacing w:val="-6"/>
          <w:kern w:val="0"/>
          <w:sz w:val="32"/>
          <w:szCs w:val="32"/>
        </w:rPr>
      </w:pPr>
      <w:r>
        <w:rPr>
          <w:rFonts w:ascii="仿宋_GB2312" w:hAnsi="仿宋_GB2312" w:eastAsia="仿宋_GB2312" w:cs="仿宋_GB2312"/>
          <w:spacing w:val="-6"/>
          <w:kern w:val="0"/>
          <w:sz w:val="32"/>
          <w:szCs w:val="32"/>
        </w:rPr>
        <w:t>改造主体地块位于</w:t>
      </w:r>
      <w:r>
        <w:rPr>
          <w:rFonts w:hint="eastAsia" w:ascii="仿宋_GB2312" w:hAnsi="仿宋_GB2312" w:eastAsia="仿宋_GB2312" w:cs="仿宋_GB2312"/>
          <w:spacing w:val="-6"/>
          <w:kern w:val="0"/>
          <w:sz w:val="32"/>
          <w:szCs w:val="32"/>
        </w:rPr>
        <w:t>“三区三线”</w:t>
      </w:r>
      <w:r>
        <w:rPr>
          <w:rFonts w:ascii="仿宋_GB2312" w:hAnsi="仿宋_GB2312" w:eastAsia="仿宋_GB2312" w:cs="仿宋_GB2312"/>
          <w:spacing w:val="-6"/>
          <w:kern w:val="0"/>
          <w:sz w:val="32"/>
          <w:szCs w:val="32"/>
        </w:rPr>
        <w:t>城镇开发边界内，不涉及永久基本农田、生态保护红线等管控要求</w:t>
      </w:r>
      <w:r>
        <w:rPr>
          <w:rFonts w:hint="eastAsia" w:ascii="仿宋_GB2312" w:hAnsi="仿宋_GB2312" w:eastAsia="仿宋_GB2312" w:cs="仿宋_GB2312"/>
          <w:spacing w:val="-6"/>
          <w:kern w:val="0"/>
          <w:sz w:val="32"/>
          <w:szCs w:val="32"/>
        </w:rPr>
        <w:t>。</w:t>
      </w:r>
    </w:p>
    <w:p w14:paraId="783F2579">
      <w:pPr>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二、改造意愿情况</w:t>
      </w:r>
    </w:p>
    <w:p w14:paraId="0D6F81DE">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改造范围涉及</w:t>
      </w:r>
      <w:r>
        <w:rPr>
          <w:rFonts w:ascii="仿宋_GB2312" w:hAnsi="仿宋_GB2312" w:eastAsia="仿宋_GB2312" w:cs="仿宋_GB2312"/>
          <w:spacing w:val="-6"/>
          <w:kern w:val="0"/>
          <w:sz w:val="32"/>
          <w:szCs w:val="32"/>
        </w:rPr>
        <w:t>中山市永琛汽车配件有限公司</w:t>
      </w:r>
      <w:r>
        <w:rPr>
          <w:rFonts w:hint="eastAsia" w:ascii="仿宋_GB2312" w:hAnsi="仿宋_GB2312" w:eastAsia="仿宋_GB2312" w:cs="仿宋_GB2312"/>
          <w:spacing w:val="-6"/>
          <w:kern w:val="0"/>
          <w:sz w:val="32"/>
          <w:szCs w:val="32"/>
        </w:rPr>
        <w:t>1个权利主体，南头镇人民政府已按照法律法规，就改造范围、土地现状、改造主体及拟改造情况等事项征询涉及所有产权人改造意愿，同意将涉及土地、房屋纳入改造范围。</w:t>
      </w:r>
    </w:p>
    <w:p w14:paraId="5279A378">
      <w:pPr>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三、改造主体及拟改造情况</w:t>
      </w:r>
    </w:p>
    <w:p w14:paraId="73333FA9">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根据有关规划要求，改造项目严格按照国土空间总体规划、控制性详细规划管控要求实施建设。</w:t>
      </w:r>
    </w:p>
    <w:p w14:paraId="73C0E997">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根据《中山市人民政府办公室关于加快发展装配式建筑的实施意见》（中府办〔2018〕47 号）要求，单体建筑面积大于（含）3000 平方米的新建工业建筑（含厂房及配套办公楼和宿舍）宜采用装配式建筑。</w:t>
      </w:r>
    </w:p>
    <w:p w14:paraId="2E300417">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根据《中山市绿色建筑发展专项规划（2022-2035）》、《住房和城乡建设部国家发展改革委关于印发城乡建设领域碳达峰实施方案的通知》（建标〔2022〕53 号）、《广东省人民政府关于印发广东省碳达峰实施方案的通知》（粤府〔2022〕56 号）、《建筑节能与可再生能源利用通用规范》（GB55015-2021）要求，项目新建建筑应按《中山市绿色建筑发展专项规划（2022-2035）》要求的绿色建筑等级进行建设，新建建筑安装太阳能系统，应符合《中山市住房和城乡建设局关于印发推进新建建筑可再生能源应用实施意见的通知》（中建通〔2024〕15 号）要求。</w:t>
      </w:r>
    </w:p>
    <w:p w14:paraId="6BF9165E">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改造项目拟采取自主改造方式，由产权人</w:t>
      </w:r>
      <w:r>
        <w:rPr>
          <w:rFonts w:ascii="仿宋_GB2312" w:hAnsi="仿宋_GB2312" w:eastAsia="仿宋_GB2312" w:cs="仿宋_GB2312"/>
          <w:spacing w:val="-6"/>
          <w:kern w:val="0"/>
          <w:sz w:val="32"/>
          <w:szCs w:val="32"/>
        </w:rPr>
        <w:t>中山市永琛汽车配件有限公司</w:t>
      </w:r>
      <w:r>
        <w:rPr>
          <w:rFonts w:hint="eastAsia" w:ascii="仿宋_GB2312" w:hAnsi="仿宋_GB2312" w:eastAsia="仿宋_GB2312" w:cs="仿宋_GB2312"/>
          <w:spacing w:val="-6"/>
          <w:kern w:val="0"/>
          <w:sz w:val="32"/>
          <w:szCs w:val="32"/>
        </w:rPr>
        <w:t>作为改造主体，实施</w:t>
      </w:r>
      <w:r>
        <w:rPr>
          <w:rFonts w:ascii="仿宋_GB2312" w:hAnsi="仿宋_GB2312" w:eastAsia="仿宋_GB2312" w:cs="仿宋_GB2312"/>
          <w:spacing w:val="-6"/>
          <w:kern w:val="0"/>
          <w:sz w:val="32"/>
          <w:szCs w:val="32"/>
        </w:rPr>
        <w:t>全面改造</w:t>
      </w:r>
      <w:r>
        <w:rPr>
          <w:rFonts w:hint="eastAsia" w:ascii="仿宋_GB2312" w:hAnsi="仿宋_GB2312" w:eastAsia="仿宋_GB2312" w:cs="仿宋_GB2312"/>
          <w:spacing w:val="-6"/>
          <w:kern w:val="0"/>
          <w:sz w:val="32"/>
          <w:szCs w:val="32"/>
        </w:rPr>
        <w:t>。改造后将用于</w:t>
      </w:r>
      <w:r>
        <w:rPr>
          <w:rFonts w:hint="eastAsia" w:ascii="仿宋_GB2312" w:hAnsi="仿宋_GB2312" w:eastAsia="仿宋_GB2312" w:cs="仿宋_GB2312"/>
          <w:spacing w:val="-6"/>
          <w:sz w:val="32"/>
        </w:rPr>
        <w:t>生产智能家用电器及配套产品</w:t>
      </w:r>
      <w:r>
        <w:rPr>
          <w:rFonts w:hint="eastAsia" w:ascii="仿宋_GB2312" w:hAnsi="仿宋_GB2312" w:eastAsia="仿宋_GB2312" w:cs="仿宋_GB2312"/>
          <w:spacing w:val="-6"/>
          <w:kern w:val="0"/>
          <w:sz w:val="32"/>
          <w:szCs w:val="32"/>
        </w:rPr>
        <w:t>，在符合详细规划的基础上，容积率不小于3.0，总建筑面积不小于184204.8平方米，其中新建建筑面积不小于184204.8平方米，不保留原建筑物。项目建成后拟申请分割销售，自持销售比例为：自持不少于20%，销售不大于80%。</w:t>
      </w:r>
    </w:p>
    <w:p w14:paraId="48B6C627">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相关情况符合国家《产业结构调整指导目录》、《中山市“三线一单”生态环境分区管控方案》、《中山市涉挥发性有机物项目环保管理规定》。改造后年产值将达到40000万元（折合约434.31万元/亩），年税收将达到1600万元（折合约17.37万元/亩）。</w:t>
      </w:r>
    </w:p>
    <w:p w14:paraId="4D7E5175">
      <w:pPr>
        <w:ind w:firstLine="616" w:firstLineChars="200"/>
        <w:rPr>
          <w:rFonts w:ascii="仿宋" w:hAnsi="仿宋" w:eastAsia="仿宋" w:cs="仿宋"/>
          <w:sz w:val="28"/>
          <w:szCs w:val="28"/>
        </w:rPr>
      </w:pPr>
      <w:r>
        <w:rPr>
          <w:rFonts w:hint="eastAsia" w:ascii="黑体" w:hAnsi="黑体" w:eastAsia="黑体" w:cs="黑体"/>
          <w:spacing w:val="-6"/>
          <w:kern w:val="0"/>
          <w:sz w:val="32"/>
          <w:szCs w:val="32"/>
        </w:rPr>
        <w:t>四、资金筹措</w:t>
      </w:r>
    </w:p>
    <w:p w14:paraId="09CD54B8">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项目改造成本约为50000万元，由改造主体拟投入资金50000万元，其中自有资金10000万元，银行借贷40000万元。</w:t>
      </w:r>
    </w:p>
    <w:p w14:paraId="03C85480">
      <w:pPr>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五、开发时序</w:t>
      </w:r>
    </w:p>
    <w:p w14:paraId="3CCFACD4">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项目自改造方案批复之日起548日内动工，自动工之日起1095日内竣工。</w:t>
      </w:r>
    </w:p>
    <w:p w14:paraId="2389EC86">
      <w:pPr>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六、实施监管</w:t>
      </w:r>
    </w:p>
    <w:p w14:paraId="7F466862">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详见南头镇与改造主体签订的项目实施监管协议。</w:t>
      </w:r>
    </w:p>
    <w:p w14:paraId="6165FA45">
      <w:pPr>
        <w:rPr>
          <w:rFonts w:ascii="仿宋" w:hAnsi="仿宋" w:eastAsia="仿宋" w:cs="仿宋"/>
          <w:sz w:val="28"/>
          <w:szCs w:val="28"/>
        </w:rPr>
      </w:pPr>
    </w:p>
    <w:p w14:paraId="12020212">
      <w:pPr>
        <w:rPr>
          <w:rFonts w:ascii="仿宋" w:hAnsi="仿宋" w:eastAsia="仿宋" w:cs="仿宋"/>
          <w:sz w:val="28"/>
          <w:szCs w:val="28"/>
        </w:rPr>
      </w:pPr>
      <w:bookmarkStart w:id="0" w:name="_GoBack"/>
      <w:bookmarkEnd w:id="0"/>
    </w:p>
    <w:p w14:paraId="1628FAD6">
      <w:pPr>
        <w:rPr>
          <w:rFonts w:ascii="仿宋" w:hAnsi="仿宋" w:eastAsia="仿宋" w:cs="仿宋"/>
          <w:sz w:val="28"/>
          <w:szCs w:val="28"/>
        </w:rPr>
      </w:pPr>
    </w:p>
    <w:sectPr>
      <w:pgSz w:w="11906" w:h="1683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小标宋">
    <w:altName w:val="微软雅黑"/>
    <w:panose1 w:val="00000000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ZDY2YmNiMWMzMTg2N2Y3OTg3YTRlYjgzMDQwN2UifQ=="/>
    <w:docVar w:name="KSO_WPS_MARK_KEY" w:val="42b0ff3d-a3c2-4880-a8bb-020ff1491b97"/>
  </w:docVars>
  <w:rsids>
    <w:rsidRoot w:val="009050CC"/>
    <w:rsid w:val="00085510"/>
    <w:rsid w:val="00093A92"/>
    <w:rsid w:val="00097FB0"/>
    <w:rsid w:val="000C7350"/>
    <w:rsid w:val="000D1DAD"/>
    <w:rsid w:val="00233255"/>
    <w:rsid w:val="0024294E"/>
    <w:rsid w:val="002A10F8"/>
    <w:rsid w:val="002F1BAE"/>
    <w:rsid w:val="00321434"/>
    <w:rsid w:val="003404AB"/>
    <w:rsid w:val="003E6B83"/>
    <w:rsid w:val="00413369"/>
    <w:rsid w:val="00431EAB"/>
    <w:rsid w:val="0056717B"/>
    <w:rsid w:val="0058143E"/>
    <w:rsid w:val="0065446F"/>
    <w:rsid w:val="006F1A8E"/>
    <w:rsid w:val="007221D9"/>
    <w:rsid w:val="009050CC"/>
    <w:rsid w:val="009F5963"/>
    <w:rsid w:val="00D05F74"/>
    <w:rsid w:val="00D51C7A"/>
    <w:rsid w:val="00DC0553"/>
    <w:rsid w:val="00EB3707"/>
    <w:rsid w:val="00EC42DC"/>
    <w:rsid w:val="00EC63A3"/>
    <w:rsid w:val="00F65B89"/>
    <w:rsid w:val="00F75136"/>
    <w:rsid w:val="00FC1897"/>
    <w:rsid w:val="01B33C25"/>
    <w:rsid w:val="027E7CF8"/>
    <w:rsid w:val="097116D1"/>
    <w:rsid w:val="0A9E5F43"/>
    <w:rsid w:val="0BAA2CD0"/>
    <w:rsid w:val="0C24314A"/>
    <w:rsid w:val="0D405134"/>
    <w:rsid w:val="0F4E6A03"/>
    <w:rsid w:val="12FF4E38"/>
    <w:rsid w:val="16C11E17"/>
    <w:rsid w:val="17666F6F"/>
    <w:rsid w:val="178A6D77"/>
    <w:rsid w:val="213A1B47"/>
    <w:rsid w:val="23D35CE7"/>
    <w:rsid w:val="27806BAA"/>
    <w:rsid w:val="27BE2858"/>
    <w:rsid w:val="286B5250"/>
    <w:rsid w:val="29090949"/>
    <w:rsid w:val="29487125"/>
    <w:rsid w:val="29A06849"/>
    <w:rsid w:val="29CF16E1"/>
    <w:rsid w:val="29E744F3"/>
    <w:rsid w:val="2A7A21AE"/>
    <w:rsid w:val="2B24295B"/>
    <w:rsid w:val="2D365318"/>
    <w:rsid w:val="2E086998"/>
    <w:rsid w:val="2EC13E2B"/>
    <w:rsid w:val="2FF40C09"/>
    <w:rsid w:val="348E2278"/>
    <w:rsid w:val="36474D8D"/>
    <w:rsid w:val="38080A88"/>
    <w:rsid w:val="3A7B5195"/>
    <w:rsid w:val="3BFD3176"/>
    <w:rsid w:val="43584806"/>
    <w:rsid w:val="44174B03"/>
    <w:rsid w:val="44E17915"/>
    <w:rsid w:val="460232BA"/>
    <w:rsid w:val="4AE8783A"/>
    <w:rsid w:val="51802DCA"/>
    <w:rsid w:val="54BA2F48"/>
    <w:rsid w:val="5C2C64D8"/>
    <w:rsid w:val="5D0B7C5E"/>
    <w:rsid w:val="5DC42461"/>
    <w:rsid w:val="5EEF498A"/>
    <w:rsid w:val="5EFD120B"/>
    <w:rsid w:val="5FA92DF7"/>
    <w:rsid w:val="60137341"/>
    <w:rsid w:val="60663786"/>
    <w:rsid w:val="60C8740B"/>
    <w:rsid w:val="620265BF"/>
    <w:rsid w:val="62E123C8"/>
    <w:rsid w:val="67050FE8"/>
    <w:rsid w:val="69565383"/>
    <w:rsid w:val="697C25FD"/>
    <w:rsid w:val="6C693D03"/>
    <w:rsid w:val="6CD55E52"/>
    <w:rsid w:val="6DBB1DDA"/>
    <w:rsid w:val="6E8A0DA4"/>
    <w:rsid w:val="701D41BA"/>
    <w:rsid w:val="719B4106"/>
    <w:rsid w:val="73FF047C"/>
    <w:rsid w:val="760A0BFC"/>
    <w:rsid w:val="7AE2051E"/>
    <w:rsid w:val="7B4C7489"/>
    <w:rsid w:val="7F105F6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0" w:lineRule="atLeast"/>
    </w:pPr>
    <w:rPr>
      <w:rFonts w:eastAsia="小标宋"/>
      <w:sz w:val="44"/>
    </w:rPr>
  </w:style>
  <w:style w:type="paragraph" w:styleId="3">
    <w:name w:val="toc 5"/>
    <w:basedOn w:val="1"/>
    <w:next w:val="1"/>
    <w:qFormat/>
    <w:uiPriority w:val="0"/>
    <w:pPr>
      <w:ind w:left="1680"/>
    </w:pPr>
  </w:style>
  <w:style w:type="paragraph" w:styleId="4">
    <w:name w:val="toa heading"/>
    <w:basedOn w:val="1"/>
    <w:next w:val="1"/>
    <w:unhideWhenUsed/>
    <w:qFormat/>
    <w:uiPriority w:val="99"/>
    <w:pPr>
      <w:widowControl/>
      <w:spacing w:before="120" w:after="100" w:afterAutospacing="1"/>
    </w:pPr>
    <w:rPr>
      <w:rFonts w:ascii="Arial" w:hAnsi="Arial"/>
      <w:sz w:val="24"/>
      <w:szCs w:val="24"/>
      <w:lang w:bidi="gu-IN"/>
    </w:rPr>
  </w:style>
  <w:style w:type="paragraph" w:styleId="5">
    <w:name w:val="annotation text"/>
    <w:basedOn w:val="1"/>
    <w:link w:val="15"/>
    <w:semiHidden/>
    <w:unhideWhenUsed/>
    <w:qFormat/>
    <w:uiPriority w:val="0"/>
    <w:pPr>
      <w:jc w:val="left"/>
    </w:pPr>
  </w:style>
  <w:style w:type="paragraph" w:styleId="6">
    <w:name w:val="Body Text Indent 2"/>
    <w:basedOn w:val="1"/>
    <w:qFormat/>
    <w:uiPriority w:val="0"/>
    <w:pPr>
      <w:ind w:firstLine="480"/>
    </w:pPr>
    <w:rPr>
      <w:rFonts w:ascii="宋体" w:hAnsi="宋体"/>
      <w:color w:val="000000"/>
      <w:sz w:val="24"/>
    </w:rPr>
  </w:style>
  <w:style w:type="paragraph" w:styleId="7">
    <w:name w:val="Balloon Text"/>
    <w:basedOn w:val="1"/>
    <w:link w:val="17"/>
    <w:semiHidden/>
    <w:unhideWhenUsed/>
    <w:qFormat/>
    <w:uiPriority w:val="0"/>
    <w:rPr>
      <w:sz w:val="18"/>
      <w:szCs w:val="18"/>
    </w:rPr>
  </w:style>
  <w:style w:type="paragraph" w:styleId="8">
    <w:name w:val="footer"/>
    <w:basedOn w:val="1"/>
    <w:link w:val="19"/>
    <w:semiHidden/>
    <w:unhideWhenUsed/>
    <w:uiPriority w:val="0"/>
    <w:pPr>
      <w:tabs>
        <w:tab w:val="center" w:pos="4153"/>
        <w:tab w:val="right" w:pos="8306"/>
      </w:tabs>
      <w:snapToGrid w:val="0"/>
      <w:jc w:val="left"/>
    </w:pPr>
    <w:rPr>
      <w:sz w:val="18"/>
      <w:szCs w:val="18"/>
    </w:rPr>
  </w:style>
  <w:style w:type="paragraph" w:styleId="9">
    <w:name w:val="header"/>
    <w:basedOn w:val="1"/>
    <w:link w:val="18"/>
    <w:semiHidden/>
    <w:unhideWhenUsed/>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5"/>
    <w:next w:val="5"/>
    <w:link w:val="16"/>
    <w:semiHidden/>
    <w:unhideWhenUsed/>
    <w:qFormat/>
    <w:uiPriority w:val="0"/>
    <w:rPr>
      <w:b/>
      <w:bCs/>
    </w:rPr>
  </w:style>
  <w:style w:type="character" w:styleId="14">
    <w:name w:val="annotation reference"/>
    <w:basedOn w:val="13"/>
    <w:semiHidden/>
    <w:unhideWhenUsed/>
    <w:qFormat/>
    <w:uiPriority w:val="0"/>
    <w:rPr>
      <w:sz w:val="21"/>
      <w:szCs w:val="21"/>
    </w:rPr>
  </w:style>
  <w:style w:type="character" w:customStyle="1" w:styleId="15">
    <w:name w:val="批注文字 Char"/>
    <w:basedOn w:val="13"/>
    <w:link w:val="5"/>
    <w:semiHidden/>
    <w:qFormat/>
    <w:uiPriority w:val="0"/>
    <w:rPr>
      <w:rFonts w:ascii="Calibri" w:hAnsi="Calibri" w:cs="Arial"/>
      <w:kern w:val="2"/>
      <w:sz w:val="21"/>
      <w:szCs w:val="22"/>
    </w:rPr>
  </w:style>
  <w:style w:type="character" w:customStyle="1" w:styleId="16">
    <w:name w:val="批注主题 Char"/>
    <w:basedOn w:val="15"/>
    <w:link w:val="11"/>
    <w:semiHidden/>
    <w:qFormat/>
    <w:uiPriority w:val="0"/>
    <w:rPr>
      <w:rFonts w:ascii="Calibri" w:hAnsi="Calibri" w:cs="Arial"/>
      <w:b/>
      <w:bCs/>
      <w:kern w:val="2"/>
      <w:sz w:val="21"/>
      <w:szCs w:val="22"/>
    </w:rPr>
  </w:style>
  <w:style w:type="character" w:customStyle="1" w:styleId="17">
    <w:name w:val="批注框文本 Char"/>
    <w:basedOn w:val="13"/>
    <w:link w:val="7"/>
    <w:semiHidden/>
    <w:qFormat/>
    <w:uiPriority w:val="0"/>
    <w:rPr>
      <w:rFonts w:ascii="Calibri" w:hAnsi="Calibri" w:cs="Arial"/>
      <w:kern w:val="2"/>
      <w:sz w:val="18"/>
      <w:szCs w:val="18"/>
    </w:rPr>
  </w:style>
  <w:style w:type="character" w:customStyle="1" w:styleId="18">
    <w:name w:val="页眉 Char"/>
    <w:basedOn w:val="13"/>
    <w:link w:val="9"/>
    <w:semiHidden/>
    <w:uiPriority w:val="0"/>
    <w:rPr>
      <w:rFonts w:ascii="Calibri" w:hAnsi="Calibri" w:cs="Arial"/>
      <w:kern w:val="2"/>
      <w:sz w:val="18"/>
      <w:szCs w:val="18"/>
    </w:rPr>
  </w:style>
  <w:style w:type="character" w:customStyle="1" w:styleId="19">
    <w:name w:val="页脚 Char"/>
    <w:basedOn w:val="13"/>
    <w:link w:val="8"/>
    <w:semiHidden/>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294</Words>
  <Characters>1676</Characters>
  <Lines>13</Lines>
  <Paragraphs>3</Paragraphs>
  <TotalTime>8</TotalTime>
  <ScaleCrop>false</ScaleCrop>
  <LinksUpToDate>false</LinksUpToDate>
  <CharactersWithSpaces>1967</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2023-11-11T03:45:00Z</dcterms:created>
  <dc:creator>2210132C</dc:creator>
  <cp:lastModifiedBy>高玉德</cp:lastModifiedBy>
  <cp:lastPrinted>2024-10-15T03:45:00Z</cp:lastPrinted>
  <dcterms:modified xsi:type="dcterms:W3CDTF">2025-11-11T07:20:43Z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F98705A35C8C4B7C8A55E492B4466418_13</vt:lpwstr>
  </property>
  <property fmtid="{D5CDD505-2E9C-101B-9397-08002B2CF9AE}" pid="3" name="KSOProductBuildVer">
    <vt:lpwstr>2052-12.8.2.18606</vt:lpwstr>
  </property>
</Properties>
</file>