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C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  <w:t>南头镇黄达勋“工改工”宗地“三旧”</w:t>
      </w:r>
    </w:p>
    <w:p w14:paraId="31EB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  <w:t>改造项目改造方案</w:t>
      </w:r>
    </w:p>
    <w:p w14:paraId="129E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</w:p>
    <w:p w14:paraId="3B1C1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根据现行控制性详细规划，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南头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镇人民政府拟对位于中山市南头镇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民安村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黄达勋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低效工业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用地进行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再改造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黄达勋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自主改造，采取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全面改造的改造方式。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项目已于202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日经南头镇人民政府批复《南头镇黄达勋工业项目低效工业用地改造方案》（中府改函（12）〔2023〕006号，下称原改造方案），现因:1、容积率“不小于2.1”调整为“不小于3.0”；2、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项目改造后动工时间由“202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月”调整为“202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日前”，竣工时间由“202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月之前调整为“202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之前”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，根据《中山市人民政府关于印发中山市旧厂房改造升级实施细则（修订）的通知》（中府〔2023〕58 号）第二十五条规定，改造方案调整如下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：</w:t>
      </w:r>
    </w:p>
    <w:p w14:paraId="5997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一、地块基本情况</w:t>
      </w:r>
    </w:p>
    <w:p w14:paraId="06F3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</w:rPr>
        <w:t>（一）总体情况</w:t>
      </w:r>
    </w:p>
    <w:p w14:paraId="316C0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位于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南头镇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民安村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，北至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，西至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空地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，东至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，南至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厂房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，用地面积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0.5293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5293.29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7.94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733A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val="en-US" w:eastAsia="zh-CN"/>
        </w:rPr>
        <w:t>标图入库情况</w:t>
      </w:r>
    </w:p>
    <w:p w14:paraId="20F80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改造地块正在办理标图入库手续，图斑号为44200068147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330D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  <w:t>（三）权属情况</w:t>
      </w:r>
    </w:p>
    <w:p w14:paraId="53CF3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改造范围内全部属国有建设用地，土地用途为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不动产权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证号为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中府国用（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2012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）第易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0200004号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，自20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年开始使用。</w:t>
      </w:r>
    </w:p>
    <w:p w14:paraId="5722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  <w:t>）土地利用现状情况</w:t>
      </w:r>
    </w:p>
    <w:p w14:paraId="07040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栋建筑物，自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1998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平方米，其中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建筑未办理规划报建手续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，容积率为0.58，作工业用途所用。该地块目前已拆除现状建筑物，改造前年产值约为850万元（107.05万元/亩），年税收约为34万元（4.28万元/亩）。</w:t>
      </w:r>
    </w:p>
    <w:p w14:paraId="551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项目原改造方案批准后（即2023年12月11日后至今）：项目于2024年8月取得《建设工程规划许可证》，后因设计方案楼层层高变更等原因调整方案，至今未动工。</w:t>
      </w:r>
    </w:p>
    <w:p w14:paraId="7EF8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改造主体地块未被认定为闲置土地，不涉及查封、抵押、历史文化资源要素、土壤环境潜在监管地块等情况。</w:t>
      </w:r>
    </w:p>
    <w:p w14:paraId="6F07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highlight w:val="none"/>
          <w:u w:val="none"/>
          <w:lang w:eastAsia="zh-CN"/>
        </w:rPr>
        <w:t>）规划情况</w:t>
      </w:r>
    </w:p>
    <w:p w14:paraId="72A5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改造地块已纳入《中山市城市更新（‘三旧’改造）专项规划（2020-2035）》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符合控制性详细规划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、国土空间规划。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其中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，在国土空间规划中，属建设用地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0.5293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5293.29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7.94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在《南头镇升辉北路以西用地控制性详细规划调整》（中府函〔2015〕95号）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及《中山市南头镇工业用地规划条件论证报告》中府函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〔20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317号）中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0.5249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5249.14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7.87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规划容积率为1.0-3.5，建筑密度35-60%，绿地率10-15%，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生产性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0米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（特殊工艺除外）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农林用地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0.0044公顷（44.15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，折合约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0.07亩）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6A70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改造地块位于“三区三线”城镇改造边界内，不涉及永久基本农田、生态保护红线等管控要求。</w:t>
      </w:r>
    </w:p>
    <w:p w14:paraId="4AB5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二、改造意愿情况</w:t>
      </w:r>
    </w:p>
    <w:p w14:paraId="5F5B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黄达勋1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南头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镇人民政府已按照法律法规，就改造范围、土地现状、改造主体及拟改造情况等事项征询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改造主体同意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将涉及土地、房屋纳入改造范围。</w:t>
      </w:r>
    </w:p>
    <w:p w14:paraId="69E0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三、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主体及拟改造情况</w:t>
      </w:r>
    </w:p>
    <w:p w14:paraId="38D2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、控制性详细规划管控要求实施建设。</w:t>
      </w:r>
    </w:p>
    <w:p w14:paraId="4ACB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黄达勋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作为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主体，实施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。改造后将用于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生产智能化家电及家电配套产品、电子信息科技、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网络电商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等产品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在符合详细规划的基础上，容积率不小于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，总建筑面积不小于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15879.87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平方米，其中新建建筑面积不小于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15879.87平方米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保留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建筑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项目建成后不涉及分割销售。</w:t>
      </w:r>
    </w:p>
    <w:p w14:paraId="42D1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1400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176.32万元/亩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13.85万元/亩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5E2441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资金筹措</w:t>
      </w:r>
    </w:p>
    <w:p w14:paraId="2251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  <w:bookmarkStart w:id="0" w:name="_GoBack"/>
      <w:bookmarkEnd w:id="0"/>
    </w:p>
    <w:p w14:paraId="3716D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  <w:lang w:eastAsia="zh-CN"/>
        </w:rPr>
        <w:t>改造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时序</w:t>
      </w:r>
    </w:p>
    <w:p w14:paraId="2C3D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于2025年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月3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日前开工，202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月3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日前竣工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具体分期实施计划以项目实际建设为准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4B34DB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  <w:lang w:eastAsia="zh-CN"/>
        </w:rPr>
        <w:t>实施监管</w:t>
      </w:r>
    </w:p>
    <w:p w14:paraId="3534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41DF3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textAlignment w:val="auto"/>
        <w:rPr>
          <w:highlight w:val="none"/>
        </w:rPr>
      </w:pPr>
    </w:p>
    <w:p w14:paraId="7361E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textAlignment w:val="auto"/>
        <w:rPr>
          <w:highlight w:val="none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43B4673"/>
    <w:rsid w:val="00EB52EF"/>
    <w:rsid w:val="011239E3"/>
    <w:rsid w:val="06322943"/>
    <w:rsid w:val="0BD12C50"/>
    <w:rsid w:val="0C8D02B4"/>
    <w:rsid w:val="15D05C79"/>
    <w:rsid w:val="16924244"/>
    <w:rsid w:val="190B7F51"/>
    <w:rsid w:val="1C311ABA"/>
    <w:rsid w:val="1E2E187F"/>
    <w:rsid w:val="259A1BE5"/>
    <w:rsid w:val="2C3C42A1"/>
    <w:rsid w:val="2D1E2658"/>
    <w:rsid w:val="343B4673"/>
    <w:rsid w:val="3EE73849"/>
    <w:rsid w:val="44A044D2"/>
    <w:rsid w:val="546F03B4"/>
    <w:rsid w:val="559D53F0"/>
    <w:rsid w:val="58067171"/>
    <w:rsid w:val="581945EB"/>
    <w:rsid w:val="59457DA9"/>
    <w:rsid w:val="5BF4056C"/>
    <w:rsid w:val="614769D2"/>
    <w:rsid w:val="66233E6D"/>
    <w:rsid w:val="683F6790"/>
    <w:rsid w:val="68E5584F"/>
    <w:rsid w:val="68EA69BA"/>
    <w:rsid w:val="69FD431C"/>
    <w:rsid w:val="6E37669E"/>
    <w:rsid w:val="6F1019EE"/>
    <w:rsid w:val="71FC0FF9"/>
    <w:rsid w:val="73650AE4"/>
    <w:rsid w:val="736D22E9"/>
    <w:rsid w:val="7B660977"/>
    <w:rsid w:val="7E0827E7"/>
    <w:rsid w:val="ABFCB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1479</Words>
  <Characters>1704</Characters>
  <Lines>0</Lines>
  <Paragraphs>0</Paragraphs>
  <TotalTime>2</TotalTime>
  <ScaleCrop>false</ScaleCrop>
  <LinksUpToDate>false</LinksUpToDate>
  <CharactersWithSpaces>1705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2023-02-14T09:22:00Z</dcterms:created>
  <dc:creator>冯妍</dc:creator>
  <cp:lastModifiedBy>童妙</cp:lastModifiedBy>
  <cp:lastPrinted>2023-03-03T10:49:00Z</cp:lastPrinted>
  <dcterms:modified xsi:type="dcterms:W3CDTF">2025-11-17T02:44:55Z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41A855C613494F33A02035B9A8C80851_13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