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中山市板芙医院综合影像服务云平台采购项目</w:t>
      </w:r>
      <w:bookmarkEnd w:id="0"/>
      <w:r>
        <w:rPr>
          <w:rFonts w:hint="eastAsia" w:ascii="黑体" w:hAnsi="黑体" w:eastAsia="黑体" w:cs="黑体"/>
          <w:b/>
          <w:bCs w:val="0"/>
          <w:color w:val="auto"/>
          <w:highlight w:val="none"/>
          <w:lang w:eastAsia="zh-CN"/>
        </w:rPr>
        <w:t>（第二次）</w:t>
      </w:r>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综合影像服务云平台</w:t>
      </w:r>
      <w:r>
        <w:rPr>
          <w:rFonts w:hint="eastAsia" w:ascii="宋体" w:hAnsi="宋体" w:eastAsia="宋体" w:cs="宋体"/>
          <w:bCs/>
          <w:color w:val="auto"/>
          <w:sz w:val="21"/>
          <w:szCs w:val="21"/>
          <w:highlight w:val="none"/>
          <w:lang w:eastAsia="zh-CN"/>
        </w:rPr>
        <w:t>采购项目（第二次）</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综合影像服务云平台</w:t>
      </w:r>
      <w:r>
        <w:rPr>
          <w:rFonts w:hint="eastAsia" w:ascii="宋体" w:hAnsi="宋体" w:eastAsia="宋体" w:cs="宋体"/>
          <w:color w:val="auto"/>
          <w:kern w:val="28"/>
          <w:sz w:val="21"/>
          <w:szCs w:val="21"/>
          <w:highlight w:val="none"/>
          <w:lang w:eastAsia="zh-CN"/>
        </w:rPr>
        <w:t>采购项目（第二次）</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93,000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3171" w:type="pct"/>
        <w:tblInd w:w="169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35"/>
        <w:gridCol w:w="1232"/>
        <w:gridCol w:w="1638"/>
        <w:gridCol w:w="1259"/>
      </w:tblGrid>
      <w:tr w14:paraId="677F0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1704" w:type="pct"/>
            <w:noWrap w:val="0"/>
            <w:vAlign w:val="center"/>
          </w:tcPr>
          <w:p w14:paraId="2C6A395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983" w:type="pct"/>
            <w:noWrap w:val="0"/>
            <w:vAlign w:val="center"/>
          </w:tcPr>
          <w:p w14:paraId="42913089">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预估人次     </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人</w:t>
            </w:r>
            <w:r>
              <w:rPr>
                <w:rFonts w:hint="eastAsia" w:ascii="宋体" w:hAnsi="宋体" w:eastAsia="宋体" w:cs="宋体"/>
                <w:i w:val="0"/>
                <w:iCs w:val="0"/>
                <w:color w:val="auto"/>
                <w:kern w:val="0"/>
                <w:sz w:val="21"/>
                <w:szCs w:val="21"/>
                <w:highlight w:val="none"/>
                <w:u w:val="none"/>
                <w:lang w:val="en-US" w:eastAsia="zh-CN" w:bidi="ar"/>
              </w:rPr>
              <w:t>）</w:t>
            </w:r>
          </w:p>
        </w:tc>
        <w:tc>
          <w:tcPr>
            <w:tcW w:w="1307" w:type="pct"/>
            <w:noWrap w:val="0"/>
            <w:vAlign w:val="center"/>
          </w:tcPr>
          <w:p w14:paraId="2B601059">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最高单价限价</w:t>
            </w:r>
            <w:r>
              <w:rPr>
                <w:rFonts w:hint="eastAsia" w:ascii="宋体" w:hAnsi="宋体" w:eastAsia="宋体" w:cs="宋体"/>
                <w:i w:val="0"/>
                <w:iCs w:val="0"/>
                <w:color w:val="auto"/>
                <w:kern w:val="0"/>
                <w:sz w:val="21"/>
                <w:szCs w:val="21"/>
                <w:highlight w:val="none"/>
                <w:u w:val="none"/>
                <w:lang w:val="en-US" w:eastAsia="zh-CN" w:bidi="ar"/>
              </w:rPr>
              <w:t>（元</w:t>
            </w:r>
            <w:r>
              <w:rPr>
                <w:rFonts w:hint="eastAsia" w:ascii="宋体" w:hAnsi="宋体" w:cs="宋体"/>
                <w:i w:val="0"/>
                <w:iCs w:val="0"/>
                <w:color w:val="auto"/>
                <w:kern w:val="0"/>
                <w:sz w:val="21"/>
                <w:szCs w:val="21"/>
                <w:highlight w:val="none"/>
                <w:u w:val="none"/>
                <w:lang w:val="en-US" w:eastAsia="zh-CN" w:bidi="ar"/>
              </w:rPr>
              <w:t>/人次</w:t>
            </w:r>
            <w:r>
              <w:rPr>
                <w:rFonts w:hint="eastAsia" w:ascii="宋体" w:hAnsi="宋体" w:eastAsia="宋体" w:cs="宋体"/>
                <w:i w:val="0"/>
                <w:iCs w:val="0"/>
                <w:color w:val="auto"/>
                <w:kern w:val="0"/>
                <w:sz w:val="21"/>
                <w:szCs w:val="21"/>
                <w:highlight w:val="none"/>
                <w:u w:val="none"/>
                <w:lang w:val="en-US" w:eastAsia="zh-CN" w:bidi="ar"/>
              </w:rPr>
              <w:t>）</w:t>
            </w:r>
          </w:p>
        </w:tc>
        <w:tc>
          <w:tcPr>
            <w:tcW w:w="1004" w:type="pct"/>
            <w:noWrap w:val="0"/>
            <w:vAlign w:val="center"/>
          </w:tcPr>
          <w:p w14:paraId="2B16E7D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r>
      <w:tr w14:paraId="6F823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1704" w:type="pct"/>
            <w:noWrap w:val="0"/>
            <w:vAlign w:val="center"/>
          </w:tcPr>
          <w:p w14:paraId="6C07BD4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Cs/>
                <w:color w:val="auto"/>
                <w:sz w:val="21"/>
                <w:szCs w:val="21"/>
                <w:highlight w:val="none"/>
                <w:lang w:val="en-US" w:eastAsia="zh-CN"/>
              </w:rPr>
              <w:t>综合影像服务云平台</w:t>
            </w:r>
          </w:p>
        </w:tc>
        <w:tc>
          <w:tcPr>
            <w:tcW w:w="983" w:type="pct"/>
            <w:noWrap w:val="0"/>
            <w:vAlign w:val="center"/>
          </w:tcPr>
          <w:p w14:paraId="1B6E7CA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93,000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307" w:type="pct"/>
            <w:noWrap w:val="0"/>
            <w:vAlign w:val="center"/>
          </w:tcPr>
          <w:p w14:paraId="2E3A4E9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004" w:type="pct"/>
            <w:noWrap w:val="0"/>
            <w:vAlign w:val="center"/>
          </w:tcPr>
          <w:p w14:paraId="6CB90E6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93,000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3A5FC4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）服务内容及范围</w:t>
      </w:r>
    </w:p>
    <w:p w14:paraId="36C6A55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为患者可通过手机端查看检查结果提供服务</w:t>
      </w:r>
      <w:r>
        <w:rPr>
          <w:rFonts w:hint="eastAsia" w:ascii="宋体" w:hAnsi="宋体" w:eastAsia="宋体" w:cs="宋体"/>
          <w:color w:val="auto"/>
          <w:sz w:val="21"/>
          <w:szCs w:val="21"/>
          <w:highlight w:val="none"/>
          <w:lang w:val="en-US" w:eastAsia="zh-CN"/>
        </w:rPr>
        <w:t>。</w:t>
      </w:r>
    </w:p>
    <w:p w14:paraId="6947A71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服务期限</w:t>
      </w:r>
    </w:p>
    <w:p w14:paraId="42C92BEF">
      <w:pPr>
        <w:numPr>
          <w:ilvl w:val="0"/>
          <w:numId w:val="0"/>
        </w:numPr>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自合同签订之日起</w:t>
      </w:r>
      <w:r>
        <w:rPr>
          <w:rFonts w:hint="eastAsia" w:ascii="宋体" w:hAnsi="宋体" w:cs="宋体"/>
          <w:color w:val="auto"/>
          <w:sz w:val="21"/>
          <w:szCs w:val="21"/>
          <w:highlight w:val="none"/>
          <w:lang w:val="en-US" w:eastAsia="zh-CN"/>
        </w:rPr>
        <w:t>至2027年12月31日；或总结算金额达到</w:t>
      </w:r>
      <w:r>
        <w:rPr>
          <w:rFonts w:hint="eastAsia" w:ascii="宋体" w:hAnsi="宋体" w:cs="宋体"/>
          <w:color w:val="000000" w:themeColor="text1"/>
          <w:sz w:val="21"/>
          <w:szCs w:val="21"/>
          <w:highlight w:val="none"/>
          <w:lang w:val="en-US" w:eastAsia="zh-CN"/>
          <w14:textFill>
            <w14:solidFill>
              <w14:schemeClr w14:val="tx1"/>
            </w14:solidFill>
          </w14:textFill>
        </w:rPr>
        <w:t>93,000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.00元，服务终止，以先到者为期限，合同随之终止。</w:t>
      </w:r>
    </w:p>
    <w:p w14:paraId="10015DD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highlight w:val="none"/>
          <w:lang w:val="en-US" w:eastAsia="zh-CN"/>
        </w:rPr>
      </w:pPr>
      <w:r>
        <w:rPr>
          <w:rFonts w:hint="eastAsia" w:ascii="宋体" w:hAnsi="宋体" w:cs="宋体"/>
          <w:color w:val="auto"/>
          <w:sz w:val="21"/>
          <w:szCs w:val="21"/>
          <w:highlight w:val="none"/>
          <w:lang w:val="en-US" w:eastAsia="zh-CN"/>
        </w:rPr>
        <w:t>（三）技术</w:t>
      </w:r>
      <w:r>
        <w:rPr>
          <w:rFonts w:hint="eastAsia" w:ascii="宋体" w:hAnsi="宋体" w:eastAsia="宋体" w:cs="宋体"/>
          <w:color w:val="auto"/>
          <w:sz w:val="21"/>
          <w:szCs w:val="21"/>
          <w:highlight w:val="none"/>
          <w:lang w:val="en-US" w:eastAsia="zh-CN"/>
        </w:rPr>
        <w:t>要求</w:t>
      </w:r>
    </w:p>
    <w:p w14:paraId="0FDF0095">
      <w:pPr>
        <w:pStyle w:val="26"/>
        <w:numPr>
          <w:ilvl w:val="0"/>
          <w:numId w:val="0"/>
        </w:numPr>
        <w:ind w:leftChars="0"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b/>
          <w:bCs/>
          <w:highlight w:val="none"/>
        </w:rPr>
        <w:t>前置服务器（一台）：</w:t>
      </w:r>
      <w:r>
        <w:rPr>
          <w:rFonts w:hint="eastAsia" w:asciiTheme="minorEastAsia" w:hAnsiTheme="minorEastAsia" w:eastAsiaTheme="minorEastAsia" w:cstheme="minorEastAsia"/>
          <w:highlight w:val="none"/>
        </w:rPr>
        <w:t>处理器：≥2核2.0G；内存：≥16G内存；硬盘：≥4T硬盘；操作系统：Window server 2012。</w:t>
      </w:r>
    </w:p>
    <w:p w14:paraId="456B8B63">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b/>
          <w:bCs/>
          <w:highlight w:val="none"/>
        </w:rPr>
        <w:t>自助报告打印一体机（二台，一台含有光盘刻录功能）：</w:t>
      </w:r>
      <w:r>
        <w:rPr>
          <w:rFonts w:hint="eastAsia" w:asciiTheme="minorEastAsia" w:hAnsiTheme="minorEastAsia" w:eastAsiaTheme="minorEastAsia" w:cstheme="minorEastAsia"/>
          <w:highlight w:val="none"/>
        </w:rPr>
        <w:t>显示屏尺寸：≥19英寸；处理器：≥I5处理器；条码识别：支持条形码、二维码识别；打印机:激光打印机；声音输出:双喇叭声音输出。</w:t>
      </w:r>
    </w:p>
    <w:p w14:paraId="741C3416">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b/>
          <w:bCs/>
          <w:highlight w:val="none"/>
        </w:rPr>
        <w:t>光盘刻录机(一台)：</w:t>
      </w:r>
    </w:p>
    <w:p w14:paraId="05CB9E82">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val="0"/>
          <w:bCs w:val="0"/>
          <w:highlight w:val="none"/>
          <w:lang w:val="en-US" w:eastAsia="zh-CN"/>
        </w:rPr>
        <w:t>3.1</w:t>
      </w:r>
      <w:r>
        <w:rPr>
          <w:rFonts w:hint="eastAsia" w:asciiTheme="minorEastAsia" w:hAnsiTheme="minorEastAsia" w:eastAsiaTheme="minorEastAsia" w:cstheme="minorEastAsia"/>
          <w:b w:val="0"/>
          <w:bCs w:val="0"/>
          <w:highlight w:val="none"/>
        </w:rPr>
        <w:t>光盘容</w:t>
      </w:r>
      <w:r>
        <w:rPr>
          <w:rFonts w:hint="eastAsia" w:asciiTheme="minorEastAsia" w:hAnsiTheme="minorEastAsia" w:eastAsiaTheme="minorEastAsia" w:cstheme="minorEastAsia"/>
          <w:highlight w:val="none"/>
        </w:rPr>
        <w:t>量：≥全自动20片光盘输入/输出；刻录机数量：一个光盘刻录机；打印方式：喷墨；打印分辨率：≥4800 dpi、在驱动程序中可调打印分辨率及光盘盘面大小</w:t>
      </w:r>
      <w:r>
        <w:rPr>
          <w:rFonts w:hint="eastAsia" w:asciiTheme="minorEastAsia" w:hAnsiTheme="minorEastAsia" w:eastAsiaTheme="minorEastAsia" w:cstheme="minorEastAsia"/>
          <w:highlight w:val="none"/>
          <w:lang w:eastAsia="zh-CN"/>
        </w:rPr>
        <w:t>。</w:t>
      </w:r>
    </w:p>
    <w:p w14:paraId="08DE05C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highlight w:val="none"/>
          <w:lang w:val="en-US" w:eastAsia="zh-CN"/>
        </w:rPr>
        <w:t>3.2</w:t>
      </w:r>
      <w:r>
        <w:rPr>
          <w:rFonts w:hint="eastAsia" w:asciiTheme="minorEastAsia" w:hAnsiTheme="minorEastAsia" w:eastAsiaTheme="minorEastAsia" w:cstheme="minorEastAsia"/>
          <w:highlight w:val="none"/>
        </w:rPr>
        <w:t>质检报告：具有第三方检测结构出具的带有CMA和CNAS标识的质检报告</w:t>
      </w:r>
      <w:r>
        <w:rPr>
          <w:rFonts w:hint="eastAsia" w:asciiTheme="minorEastAsia" w:hAnsiTheme="minorEastAsia" w:eastAsiaTheme="minorEastAsia" w:cstheme="minorEastAsia"/>
          <w:highlight w:val="none"/>
          <w:lang w:eastAsia="zh-CN"/>
        </w:rPr>
        <w:t>。</w:t>
      </w:r>
    </w:p>
    <w:p w14:paraId="2B33CEE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highlight w:val="none"/>
          <w:lang w:val="en-US" w:eastAsia="zh-CN"/>
        </w:rPr>
        <w:t>3.3</w:t>
      </w:r>
      <w:r>
        <w:rPr>
          <w:rFonts w:hint="eastAsia" w:asciiTheme="minorEastAsia" w:hAnsiTheme="minorEastAsia" w:eastAsiaTheme="minorEastAsia" w:cstheme="minorEastAsia"/>
          <w:highlight w:val="none"/>
        </w:rPr>
        <w:t>影像光盘：使用的档案级数字光盘具有ISO/IEC 16963检测证书</w:t>
      </w:r>
      <w:r>
        <w:rPr>
          <w:rFonts w:hint="eastAsia" w:asciiTheme="minorEastAsia" w:hAnsiTheme="minorEastAsia" w:eastAsiaTheme="minorEastAsia" w:cstheme="minorEastAsia"/>
          <w:highlight w:val="none"/>
          <w:lang w:eastAsia="zh-CN"/>
        </w:rPr>
        <w:t>。</w:t>
      </w:r>
    </w:p>
    <w:p w14:paraId="729F22DD">
      <w:pPr>
        <w:pStyle w:val="26"/>
        <w:numPr>
          <w:ilvl w:val="0"/>
          <w:numId w:val="0"/>
        </w:numPr>
        <w:ind w:leftChars="0"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b/>
          <w:bCs/>
          <w:szCs w:val="21"/>
          <w:highlight w:val="none"/>
        </w:rPr>
        <w:t>云胶片二维码自动生成和打印系统：</w:t>
      </w:r>
    </w:p>
    <w:p w14:paraId="437B7D4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color w:val="auto"/>
          <w:sz w:val="21"/>
          <w:szCs w:val="21"/>
          <w:highlight w:val="none"/>
          <w:lang w:val="en-US" w:eastAsia="zh-CN"/>
        </w:rPr>
        <w:t>4.1</w:t>
      </w:r>
      <w:r>
        <w:rPr>
          <w:rFonts w:hint="eastAsia" w:asciiTheme="minorEastAsia" w:hAnsiTheme="minorEastAsia" w:eastAsiaTheme="minorEastAsia" w:cstheme="minorEastAsia"/>
          <w:szCs w:val="21"/>
          <w:highlight w:val="none"/>
        </w:rPr>
        <w:t>支持患者登记时，自动生成打印云胶片二维码。（具有二维码生成和管理相关软著作为证明材料）</w:t>
      </w:r>
      <w:r>
        <w:rPr>
          <w:rFonts w:hint="eastAsia" w:asciiTheme="minorEastAsia" w:hAnsiTheme="minorEastAsia" w:eastAsiaTheme="minorEastAsia" w:cstheme="minorEastAsia"/>
          <w:szCs w:val="21"/>
          <w:highlight w:val="none"/>
          <w:lang w:eastAsia="zh-CN"/>
        </w:rPr>
        <w:t>。</w:t>
      </w:r>
    </w:p>
    <w:p w14:paraId="67DB7CAC">
      <w:pPr>
        <w:pStyle w:val="26"/>
        <w:numPr>
          <w:ilvl w:val="0"/>
          <w:numId w:val="0"/>
        </w:numPr>
        <w:ind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szCs w:val="21"/>
          <w:highlight w:val="none"/>
        </w:rPr>
        <w:t>打印的二维码的功能支持虚拟打印、钩子函数的方式实现，不需要修改PACS程序。</w:t>
      </w:r>
    </w:p>
    <w:p w14:paraId="39A7D745">
      <w:pPr>
        <w:pStyle w:val="26"/>
        <w:numPr>
          <w:ilvl w:val="0"/>
          <w:numId w:val="0"/>
        </w:numPr>
        <w:ind w:leftChars="0"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b/>
          <w:bCs/>
          <w:szCs w:val="21"/>
          <w:highlight w:val="none"/>
        </w:rPr>
        <w:t>报告和影像光盘自助打印系统：</w:t>
      </w:r>
    </w:p>
    <w:p w14:paraId="25F8AA98">
      <w:pPr>
        <w:pStyle w:val="26"/>
        <w:numPr>
          <w:ilvl w:val="0"/>
          <w:numId w:val="0"/>
        </w:numPr>
        <w:ind w:left="440" w:leftChars="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5.1</w:t>
      </w:r>
      <w:r>
        <w:rPr>
          <w:rFonts w:hint="eastAsia" w:asciiTheme="minorEastAsia" w:hAnsiTheme="minorEastAsia" w:eastAsiaTheme="minorEastAsia" w:cstheme="minorEastAsia"/>
          <w:szCs w:val="21"/>
          <w:highlight w:val="none"/>
        </w:rPr>
        <w:t>支持同时通过放射编号、住院号、门诊号、检查编号获取检查结果。</w:t>
      </w:r>
    </w:p>
    <w:p w14:paraId="199796A6">
      <w:pPr>
        <w:pStyle w:val="26"/>
        <w:numPr>
          <w:ilvl w:val="0"/>
          <w:numId w:val="0"/>
        </w:numPr>
        <w:ind w:left="440" w:leftChars="0"/>
        <w:contextualSpacing/>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auto"/>
          <w:sz w:val="21"/>
          <w:szCs w:val="21"/>
          <w:highlight w:val="none"/>
          <w:lang w:val="en-US" w:eastAsia="zh-CN"/>
        </w:rPr>
        <w:t>5.2</w:t>
      </w:r>
      <w:r>
        <w:rPr>
          <w:rFonts w:hint="eastAsia" w:asciiTheme="minorEastAsia" w:hAnsiTheme="minorEastAsia" w:eastAsiaTheme="minorEastAsia" w:cstheme="minorEastAsia"/>
          <w:szCs w:val="21"/>
          <w:highlight w:val="none"/>
        </w:rPr>
        <w:t>具有专业的盘面模板编辑软件。光盘盘面除能够打印病人的基本信息外，还要打印病人的就诊类</w:t>
      </w:r>
    </w:p>
    <w:p w14:paraId="28B012DB">
      <w:pPr>
        <w:pStyle w:val="26"/>
        <w:numPr>
          <w:ilvl w:val="0"/>
          <w:numId w:val="0"/>
        </w:numPr>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highlight w:val="none"/>
        </w:rPr>
        <w:t>型（门诊、住院、急诊）、申请科室、床号信息。</w:t>
      </w:r>
    </w:p>
    <w:p w14:paraId="108AEC63">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5.3可以设置某些图像序列不刻录到光盘中。</w:t>
      </w:r>
    </w:p>
    <w:p w14:paraId="39C0A723">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5.4支持打印机和刻录状态实时向维护人员通知功能。这些打印状态包括但不限于：卡纸、缺纸、少墨、硒鼓错误、缺少光盘等。</w:t>
      </w:r>
    </w:p>
    <w:p w14:paraId="0F972A9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5.5可以设置病人的影像光盘和检查报告再次打印。</w:t>
      </w:r>
    </w:p>
    <w:p w14:paraId="2D1761C5">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6.云胶片管理后台：</w:t>
      </w:r>
    </w:p>
    <w:p w14:paraId="7BB9A15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6.1全自动获取病人检查报告和检查图像，不需要人工干预。</w:t>
      </w:r>
    </w:p>
    <w:p w14:paraId="35B2B8A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6.2支持在获取的PDF报告上增加二维码，二维码内容，位置可随意设置。</w:t>
      </w:r>
    </w:p>
    <w:p w14:paraId="48DFB4E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6.3支持手动单个从PACS系统获取历年的就诊信息，方便云胶片系统上线前的患者查看云胶片数据。</w:t>
      </w:r>
    </w:p>
    <w:p w14:paraId="14D6D28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6.4具有图像回传功能，可将图像回传到设备中进行重建，并且可以显示回传进度。</w:t>
      </w:r>
    </w:p>
    <w:p w14:paraId="63552F67">
      <w:pPr>
        <w:pStyle w:val="26"/>
        <w:numPr>
          <w:ilvl w:val="0"/>
          <w:numId w:val="0"/>
        </w:numPr>
        <w:ind w:left="440" w:leftChars="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auto"/>
          <w:sz w:val="21"/>
          <w:szCs w:val="21"/>
          <w:highlight w:val="none"/>
          <w:lang w:val="en-US" w:eastAsia="zh-CN"/>
        </w:rPr>
        <w:t>6.5</w:t>
      </w:r>
      <w:r>
        <w:rPr>
          <w:rFonts w:hint="eastAsia" w:asciiTheme="minorEastAsia" w:hAnsiTheme="minorEastAsia" w:eastAsiaTheme="minorEastAsia" w:cstheme="minorEastAsia"/>
          <w:szCs w:val="21"/>
        </w:rPr>
        <w:t>具有心跳功能，可以实时监控各服务程序的心跳，当服务程序没有心跳时，可以自动重启，维</w:t>
      </w:r>
    </w:p>
    <w:p w14:paraId="4EE94803">
      <w:pPr>
        <w:pStyle w:val="26"/>
        <w:numPr>
          <w:ilvl w:val="0"/>
          <w:numId w:val="0"/>
        </w:numPr>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rPr>
        <w:t>护人员手机上可以收到短信提醒。</w:t>
      </w:r>
    </w:p>
    <w:p w14:paraId="6CEF6430">
      <w:pPr>
        <w:pStyle w:val="26"/>
        <w:numPr>
          <w:ilvl w:val="0"/>
          <w:numId w:val="0"/>
        </w:numPr>
        <w:ind w:leftChars="0" w:firstLine="422"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7.</w:t>
      </w:r>
      <w:r>
        <w:rPr>
          <w:rFonts w:hint="eastAsia" w:asciiTheme="minorEastAsia" w:hAnsiTheme="minorEastAsia" w:eastAsiaTheme="minorEastAsia" w:cstheme="minorEastAsia"/>
          <w:b/>
          <w:bCs/>
        </w:rPr>
        <w:t>患者端：</w:t>
      </w:r>
    </w:p>
    <w:p w14:paraId="5C3D0A3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7.1具有图像下载功能，图像下载时需要同时下载图像和DICOM阅读器。支持使用医院公众号、微信</w:t>
      </w:r>
    </w:p>
    <w:p w14:paraId="418D8B1D">
      <w:pPr>
        <w:keepNext w:val="0"/>
        <w:keepLines w:val="0"/>
        <w:pageBreakBefore w:val="0"/>
        <w:numPr>
          <w:ilvl w:val="0"/>
          <w:numId w:val="0"/>
        </w:numPr>
        <w:kinsoku/>
        <w:wordWrap/>
        <w:overflowPunct/>
        <w:topLinePunct w:val="0"/>
        <w:bidi w:val="0"/>
        <w:spacing w:line="360" w:lineRule="exact"/>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小程序、报告单二维码、检查单二维码扫描查看影像报告和检查影像。</w:t>
      </w:r>
    </w:p>
    <w:p w14:paraId="2A99D67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7.2支持通过姓名+身份证号，姓名+就诊号，姓名+影像号，姓名+门诊住院号等各种组合进行检查结果的查询。</w:t>
      </w:r>
    </w:p>
    <w:p w14:paraId="2CE274C0">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7.3报告审核后，具有短信和微信通知功能，通知的范围可以任意设置。信息通知内容格式可自定义。</w:t>
      </w:r>
    </w:p>
    <w:p w14:paraId="3DE82DC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7.4支持检查结果分享，系统可以生成分享二维码，扫描二维码，可查看检查报告和影像，用户对生成的分享二维码信息进行权限控制、支持设置报告单二维码的有效期。</w:t>
      </w:r>
    </w:p>
    <w:p w14:paraId="17EF472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7.5具有身份认证机制，用户认证手机验证码或身份证尾号通过之后才能使用云电子胶片功能。</w:t>
      </w:r>
    </w:p>
    <w:p w14:paraId="7ED59681">
      <w:pPr>
        <w:pStyle w:val="26"/>
        <w:numPr>
          <w:ilvl w:val="0"/>
          <w:numId w:val="0"/>
        </w:numPr>
        <w:ind w:leftChars="0" w:firstLine="422" w:firstLineChars="200"/>
        <w:contextualSpacing/>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8.</w:t>
      </w:r>
      <w:r>
        <w:rPr>
          <w:rFonts w:hint="eastAsia" w:asciiTheme="minorEastAsia" w:hAnsiTheme="minorEastAsia" w:eastAsiaTheme="minorEastAsia" w:cstheme="minorEastAsia"/>
          <w:b/>
          <w:bCs/>
        </w:rPr>
        <w:t>图片阅览器：</w:t>
      </w:r>
    </w:p>
    <w:p w14:paraId="149AA38F">
      <w:pPr>
        <w:pStyle w:val="26"/>
        <w:numPr>
          <w:ilvl w:val="0"/>
          <w:numId w:val="0"/>
        </w:numPr>
        <w:ind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8.1</w:t>
      </w:r>
      <w:r>
        <w:rPr>
          <w:rFonts w:hint="eastAsia" w:asciiTheme="minorEastAsia" w:hAnsiTheme="minorEastAsia" w:eastAsiaTheme="minorEastAsia" w:cstheme="minorEastAsia"/>
          <w:szCs w:val="21"/>
        </w:rPr>
        <w:t>图像显示和PDF报告同一界面，方便患者查看。</w:t>
      </w:r>
    </w:p>
    <w:p w14:paraId="3A188134">
      <w:pPr>
        <w:pStyle w:val="26"/>
        <w:numPr>
          <w:ilvl w:val="0"/>
          <w:numId w:val="0"/>
        </w:numPr>
        <w:ind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8.2</w:t>
      </w:r>
      <w:r>
        <w:rPr>
          <w:rFonts w:hint="eastAsia" w:asciiTheme="minorEastAsia" w:hAnsiTheme="minorEastAsia" w:eastAsiaTheme="minorEastAsia" w:cstheme="minorEastAsia"/>
          <w:szCs w:val="21"/>
        </w:rPr>
        <w:t>支持对影像进行序列选择、放大缩小、切换、调窗、移动、旋转、测量标注、镜像操作、一键还原、播放距离、各种测量操作。支持MPR。</w:t>
      </w:r>
    </w:p>
    <w:p w14:paraId="2F04B715">
      <w:pPr>
        <w:pStyle w:val="26"/>
        <w:numPr>
          <w:ilvl w:val="0"/>
          <w:numId w:val="0"/>
        </w:numPr>
        <w:ind w:leftChars="0" w:firstLine="422"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9.</w:t>
      </w:r>
      <w:r>
        <w:rPr>
          <w:rFonts w:hint="eastAsia" w:asciiTheme="minorEastAsia" w:hAnsiTheme="minorEastAsia" w:eastAsiaTheme="minorEastAsia" w:cstheme="minorEastAsia"/>
          <w:b/>
          <w:bCs/>
        </w:rPr>
        <w:t>报告实时更新系统：</w:t>
      </w:r>
    </w:p>
    <w:p w14:paraId="52EB4673">
      <w:pPr>
        <w:pStyle w:val="26"/>
        <w:numPr>
          <w:ilvl w:val="0"/>
          <w:numId w:val="0"/>
        </w:numPr>
        <w:ind w:left="440" w:leftChars="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auto"/>
          <w:sz w:val="21"/>
          <w:szCs w:val="21"/>
          <w:highlight w:val="none"/>
          <w:lang w:val="en-US" w:eastAsia="zh-CN"/>
        </w:rPr>
        <w:t>9.1</w:t>
      </w:r>
      <w:r>
        <w:rPr>
          <w:rFonts w:hint="eastAsia" w:asciiTheme="minorEastAsia" w:hAnsiTheme="minorEastAsia" w:eastAsiaTheme="minorEastAsia" w:cstheme="minorEastAsia"/>
          <w:szCs w:val="21"/>
        </w:rPr>
        <w:t>支持屏幕AI或者虚拟打印的方式自动触发报告更新。具有报告实时更新系统相关软件著作权。</w:t>
      </w:r>
    </w:p>
    <w:p w14:paraId="0F7D03D0">
      <w:pPr>
        <w:pStyle w:val="26"/>
        <w:numPr>
          <w:ilvl w:val="0"/>
          <w:numId w:val="0"/>
        </w:numPr>
        <w:ind w:left="440" w:leftChars="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9.2</w:t>
      </w:r>
      <w:r>
        <w:rPr>
          <w:rFonts w:hint="eastAsia" w:asciiTheme="minorEastAsia" w:hAnsiTheme="minorEastAsia" w:eastAsiaTheme="minorEastAsia" w:cstheme="minorEastAsia"/>
          <w:szCs w:val="21"/>
        </w:rPr>
        <w:t>患者报告更新后，可以在10秒内将最新的报告推送到云端。</w:t>
      </w:r>
    </w:p>
    <w:p w14:paraId="18700C42">
      <w:pPr>
        <w:pStyle w:val="26"/>
        <w:numPr>
          <w:ilvl w:val="0"/>
          <w:numId w:val="0"/>
        </w:numPr>
        <w:ind w:leftChars="0" w:firstLine="422"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10.</w:t>
      </w:r>
      <w:r>
        <w:rPr>
          <w:rFonts w:hint="eastAsia" w:asciiTheme="minorEastAsia" w:hAnsiTheme="minorEastAsia" w:eastAsiaTheme="minorEastAsia" w:cstheme="minorEastAsia"/>
          <w:b/>
          <w:bCs/>
        </w:rPr>
        <w:t>医生协作软件：</w:t>
      </w:r>
    </w:p>
    <w:p w14:paraId="67458B84">
      <w:pPr>
        <w:pStyle w:val="26"/>
        <w:numPr>
          <w:ilvl w:val="0"/>
          <w:numId w:val="0"/>
        </w:numPr>
        <w:ind w:left="440" w:leftChars="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10.1</w:t>
      </w:r>
      <w:r>
        <w:rPr>
          <w:rFonts w:hint="eastAsia" w:asciiTheme="minorEastAsia" w:hAnsiTheme="minorEastAsia" w:eastAsiaTheme="minorEastAsia" w:cstheme="minorEastAsia"/>
          <w:szCs w:val="21"/>
        </w:rPr>
        <w:t>支持通过患者ID、流水号、患者姓名、检查时间查询患者信息。</w:t>
      </w:r>
    </w:p>
    <w:p w14:paraId="698B74B0">
      <w:pPr>
        <w:pStyle w:val="26"/>
        <w:numPr>
          <w:ilvl w:val="0"/>
          <w:numId w:val="0"/>
        </w:numPr>
        <w:ind w:left="440" w:leftChars="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z w:val="21"/>
          <w:szCs w:val="21"/>
          <w:highlight w:val="none"/>
          <w:lang w:val="en-US" w:eastAsia="zh-CN"/>
        </w:rPr>
        <w:t>10.2</w:t>
      </w:r>
      <w:r>
        <w:rPr>
          <w:rFonts w:hint="eastAsia" w:asciiTheme="minorEastAsia" w:hAnsiTheme="minorEastAsia" w:eastAsiaTheme="minorEastAsia" w:cstheme="minorEastAsia"/>
          <w:szCs w:val="21"/>
        </w:rPr>
        <w:t>支持通过患者列表查看原始报告，查看患者Dicom影像，进行阅片。</w:t>
      </w:r>
    </w:p>
    <w:p w14:paraId="499DBE1A">
      <w:pPr>
        <w:pStyle w:val="26"/>
        <w:numPr>
          <w:ilvl w:val="0"/>
          <w:numId w:val="0"/>
        </w:numPr>
        <w:ind w:firstLine="420"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10.3</w:t>
      </w:r>
      <w:r>
        <w:rPr>
          <w:rFonts w:hint="eastAsia" w:asciiTheme="minorEastAsia" w:hAnsiTheme="minorEastAsia" w:eastAsiaTheme="minorEastAsia" w:cstheme="minorEastAsia"/>
          <w:szCs w:val="21"/>
        </w:rPr>
        <w:t>支持任意终端、任意位置、任意网络的阅片功能。</w:t>
      </w:r>
    </w:p>
    <w:p w14:paraId="2BD31A9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10.4</w:t>
      </w:r>
      <w:r>
        <w:rPr>
          <w:rFonts w:hint="eastAsia" w:asciiTheme="minorEastAsia" w:hAnsiTheme="minorEastAsia" w:eastAsiaTheme="minorEastAsia" w:cstheme="minorEastAsia"/>
          <w:szCs w:val="21"/>
        </w:rPr>
        <w:t>具有会诊报告功能，不替换原有报告</w:t>
      </w:r>
      <w:r>
        <w:rPr>
          <w:rFonts w:hint="eastAsia" w:asciiTheme="minorEastAsia" w:hAnsiTheme="minorEastAsia" w:eastAsiaTheme="minorEastAsia" w:cstheme="minorEastAsia"/>
          <w:szCs w:val="21"/>
          <w:lang w:eastAsia="zh-CN"/>
        </w:rPr>
        <w:t>。</w:t>
      </w:r>
    </w:p>
    <w:p w14:paraId="134061EA">
      <w:pPr>
        <w:pStyle w:val="26"/>
        <w:numPr>
          <w:ilvl w:val="0"/>
          <w:numId w:val="0"/>
        </w:numPr>
        <w:ind w:leftChars="0" w:firstLine="422" w:firstLineChars="200"/>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11.</w:t>
      </w:r>
      <w:r>
        <w:rPr>
          <w:rFonts w:hint="eastAsia" w:asciiTheme="minorEastAsia" w:hAnsiTheme="minorEastAsia" w:eastAsiaTheme="minorEastAsia" w:cstheme="minorEastAsia"/>
          <w:b/>
          <w:bCs/>
        </w:rPr>
        <w:t>系统网络安全：</w:t>
      </w:r>
    </w:p>
    <w:p w14:paraId="0C19C767">
      <w:pPr>
        <w:pStyle w:val="26"/>
        <w:numPr>
          <w:ilvl w:val="0"/>
          <w:numId w:val="0"/>
        </w:numPr>
        <w:ind w:left="440" w:leftChars="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z w:val="21"/>
          <w:szCs w:val="21"/>
          <w:highlight w:val="none"/>
          <w:lang w:val="en-US" w:eastAsia="zh-CN"/>
        </w:rPr>
        <w:t>11.1</w:t>
      </w:r>
      <w:r>
        <w:rPr>
          <w:rFonts w:hint="eastAsia" w:asciiTheme="minorEastAsia" w:hAnsiTheme="minorEastAsia" w:eastAsiaTheme="minorEastAsia" w:cstheme="minorEastAsia"/>
          <w:szCs w:val="21"/>
        </w:rPr>
        <w:t>支持https，通过token、链接实效性保证安全，防止盗链。向云平台数据传输通过加密方式传</w:t>
      </w:r>
    </w:p>
    <w:p w14:paraId="556B5201">
      <w:pPr>
        <w:pStyle w:val="26"/>
        <w:numPr>
          <w:ilvl w:val="0"/>
          <w:numId w:val="0"/>
        </w:numPr>
        <w:contextualSpacing/>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rPr>
        <w:t>输。</w:t>
      </w:r>
    </w:p>
    <w:p w14:paraId="4CAAC30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auto"/>
          <w:sz w:val="21"/>
          <w:szCs w:val="21"/>
          <w:highlight w:val="none"/>
          <w:lang w:val="en-US" w:eastAsia="zh-CN"/>
        </w:rPr>
        <w:t>11.2</w:t>
      </w:r>
      <w:r>
        <w:rPr>
          <w:rFonts w:hint="eastAsia" w:asciiTheme="minorEastAsia" w:hAnsiTheme="minorEastAsia" w:eastAsiaTheme="minorEastAsia" w:cstheme="minorEastAsia"/>
          <w:szCs w:val="21"/>
        </w:rPr>
        <w:t>具有网络安全等级保护三级及以上备案凭证（提供等级保护备案凭证和最近一年的测评凭证）。</w:t>
      </w:r>
    </w:p>
    <w:p w14:paraId="3EB55745">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color w:val="auto"/>
          <w:sz w:val="21"/>
          <w:szCs w:val="21"/>
          <w:highlight w:val="none"/>
          <w:lang w:val="en-US" w:eastAsia="zh-CN"/>
        </w:rPr>
        <w:t>12.</w:t>
      </w:r>
      <w:r>
        <w:rPr>
          <w:rFonts w:hint="eastAsia" w:asciiTheme="minorEastAsia" w:hAnsiTheme="minorEastAsia" w:eastAsiaTheme="minorEastAsia" w:cstheme="minorEastAsia"/>
          <w:b/>
          <w:bCs/>
        </w:rPr>
        <w:t>云端数据存储一年</w:t>
      </w:r>
      <w:r>
        <w:rPr>
          <w:rFonts w:hint="eastAsia" w:asciiTheme="minorEastAsia" w:hAnsiTheme="minorEastAsia" w:eastAsiaTheme="minorEastAsia" w:cstheme="minorEastAsia"/>
          <w:b/>
          <w:bCs/>
          <w:lang w:eastAsia="zh-CN"/>
        </w:rPr>
        <w:t>。</w:t>
      </w:r>
    </w:p>
    <w:p w14:paraId="57D6B1D0">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商务要求</w:t>
      </w:r>
    </w:p>
    <w:p w14:paraId="692C5388">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w:t>
      </w:r>
      <w:r>
        <w:rPr>
          <w:rFonts w:hint="eastAsia" w:ascii="宋体" w:hAnsi="宋体" w:eastAsia="宋体" w:cs="宋体"/>
          <w:b w:val="0"/>
          <w:bCs w:val="0"/>
          <w:color w:val="auto"/>
          <w:sz w:val="21"/>
          <w:szCs w:val="21"/>
          <w:highlight w:val="none"/>
        </w:rPr>
        <w:t>供</w:t>
      </w:r>
      <w:r>
        <w:rPr>
          <w:rFonts w:hint="eastAsia" w:asciiTheme="minorEastAsia" w:hAnsiTheme="minorEastAsia" w:eastAsiaTheme="minorEastAsia" w:cstheme="minorEastAsia"/>
          <w:b w:val="0"/>
          <w:bCs w:val="0"/>
          <w:highlight w:val="none"/>
        </w:rPr>
        <w:t>前置服务器</w:t>
      </w:r>
      <w:r>
        <w:rPr>
          <w:rFonts w:hint="eastAsia" w:asciiTheme="minorEastAsia" w:hAnsiTheme="minorEastAsia" w:eastAsiaTheme="minorEastAsia" w:cstheme="minorEastAsia"/>
          <w:b w:val="0"/>
          <w:bCs w:val="0"/>
          <w:highlight w:val="none"/>
          <w:lang w:eastAsia="zh-CN"/>
        </w:rPr>
        <w:t>、</w:t>
      </w:r>
      <w:r>
        <w:rPr>
          <w:rFonts w:hint="eastAsia" w:asciiTheme="minorEastAsia" w:hAnsiTheme="minorEastAsia" w:eastAsiaTheme="minorEastAsia" w:cstheme="minorEastAsia"/>
          <w:b w:val="0"/>
          <w:bCs w:val="0"/>
          <w:highlight w:val="none"/>
        </w:rPr>
        <w:t>光盘刻录机</w:t>
      </w:r>
      <w:r>
        <w:rPr>
          <w:rFonts w:hint="eastAsia" w:ascii="宋体" w:hAnsi="宋体" w:cs="宋体"/>
          <w:b w:val="0"/>
          <w:bCs w:val="0"/>
          <w:color w:val="auto"/>
          <w:sz w:val="21"/>
          <w:szCs w:val="21"/>
          <w:highlight w:val="none"/>
          <w:lang w:val="en-US" w:eastAsia="zh-CN"/>
        </w:rPr>
        <w:t>的</w:t>
      </w:r>
      <w:r>
        <w:rPr>
          <w:rFonts w:hint="eastAsia" w:ascii="宋体" w:hAnsi="宋体" w:cs="宋体"/>
          <w:color w:val="auto"/>
          <w:sz w:val="21"/>
          <w:szCs w:val="21"/>
          <w:highlight w:val="none"/>
          <w:lang w:val="en-US" w:eastAsia="zh-CN"/>
        </w:rPr>
        <w:t>授权文件，在合同签订限期内未能提供的，采购人有权拒绝签订合同。</w:t>
      </w:r>
    </w:p>
    <w:p w14:paraId="006A3598">
      <w:pPr>
        <w:pStyle w:val="23"/>
        <w:spacing w:before="40"/>
        <w:ind w:left="6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2.付款方式：合同签订后30天内交货，完成安装测试、运行验收合格后分期按实结算，每季度评价《服务考评表》，根据“综合平均分”得分扣罚后再结算。</w:t>
      </w:r>
    </w:p>
    <w:p w14:paraId="768D10B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验收标准：</w:t>
      </w:r>
    </w:p>
    <w:p w14:paraId="7DAC1BC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产品质量达到设计要求，安装调试各项指标符合技术参数。安装调试完成后，中标人应将本次设备及软件的全部有关资料，包括产品说明书、技术文件、验收报告、培训计划以及其他系统程序文件等文档交付给招标人。</w:t>
      </w:r>
    </w:p>
    <w:p w14:paraId="738AC64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中标人移交所有资料文档后5个工作日内验收，验收应在招标人、中标人双方共同参与下进行，验收按国家有关的规定、规范进行，验收按国家有关技术标准规范和招投标文件载明的技术参数指标、性能等为依据。</w:t>
      </w:r>
    </w:p>
    <w:p w14:paraId="6B51A37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如验收不能通过，供应商须对存在的问题进行整改，在问题解决后，采购人再次组织验收；因验收不通过所产生的费用，由供应商自行承担。如整改后仍达不到验收标准或合同及合同相关技术文件规定的，采购人可终止全部或部分合同，采购人可以依其认为适当的条件和方法购买类似服务与未完成的服务，供应商应承担采购人因购买类似服务而产生的额外支出。但是，供应商应继续执行合同中未终止的部分。采购人保留法律追究的权利。验收合格后，双方签署验收合格书。</w:t>
      </w:r>
    </w:p>
    <w:p w14:paraId="4FC9D66F">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4.若采购人使用科室核心小组有2/3或以上人数对中选供应商的服务质量不满意的，且使用科室核心小组已对其发出书面通报两次或以上的，经院方领导同意，采购人有权终止合同。</w:t>
      </w:r>
    </w:p>
    <w:p w14:paraId="1447BB7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.技术服务(含培训)要求：供应商负责对所提供的工作人员定期进行业务培训，培训内容包括设服务规范、服务技能、专业知识等，培训后的工作人员达到本项目所需的</w:t>
      </w:r>
      <w:r>
        <w:rPr>
          <w:rFonts w:hint="eastAsia" w:ascii="宋体" w:hAnsi="宋体" w:cs="宋体"/>
          <w:color w:val="auto"/>
          <w:sz w:val="21"/>
          <w:szCs w:val="21"/>
          <w:highlight w:val="none"/>
          <w:lang w:val="en-US" w:eastAsia="zh-CN"/>
        </w:rPr>
        <w:t>技术要求</w:t>
      </w:r>
      <w:r>
        <w:rPr>
          <w:rFonts w:hint="eastAsia" w:ascii="宋体" w:hAnsi="宋体" w:eastAsia="宋体" w:cs="宋体"/>
          <w:color w:val="auto"/>
          <w:sz w:val="21"/>
          <w:szCs w:val="21"/>
          <w:highlight w:val="none"/>
          <w:lang w:val="en-US" w:eastAsia="zh-CN"/>
        </w:rPr>
        <w:t>、服务规范等。</w:t>
      </w:r>
    </w:p>
    <w:p w14:paraId="2B50A84D">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售后服务：软件系统应提供365*7*24小时技术支持服务，周一至周五8:00-17:00期间故障响应时间为30分钟内响应，其余期间为1小时响应，并在4小时内恢复业务正常使用。若故障需要到场解决，须在4小时内到达现场提供服务。</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（二）供应商须具备相关经营范围且有效的营业执照（提供证明材料复印件加盖供应商公章）。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6EB06763">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701FDE07">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2C77D747">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2CB5A8C">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07878790">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w:t>
      </w:r>
      <w:r>
        <w:rPr>
          <w:rFonts w:hint="eastAsia" w:ascii="宋体" w:hAnsi="宋体" w:cs="宋体"/>
          <w:b/>
          <w:bCs w:val="0"/>
          <w:color w:val="auto"/>
          <w:sz w:val="21"/>
          <w:szCs w:val="21"/>
          <w:highlight w:val="none"/>
          <w:lang w:val="en-US" w:eastAsia="zh-CN"/>
        </w:rPr>
        <w:t>（第二次）</w:t>
      </w:r>
      <w:r>
        <w:rPr>
          <w:rFonts w:hint="eastAsia" w:ascii="宋体" w:hAnsi="宋体" w:cs="宋体"/>
          <w:b/>
          <w:bCs/>
          <w:color w:val="auto"/>
          <w:sz w:val="21"/>
          <w:szCs w:val="21"/>
          <w:highlight w:val="none"/>
          <w:lang w:val="en-US" w:eastAsia="zh-CN"/>
        </w:rPr>
        <w:t>”要求提供。</w:t>
      </w:r>
    </w:p>
    <w:p w14:paraId="75A80B3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5F66BCF">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5FB9A59">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22D1EBB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6967E1FD">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5DC7934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eastAsia="宋体" w:cs="宋体"/>
          <w:bCs/>
          <w:color w:val="auto"/>
          <w:sz w:val="21"/>
          <w:szCs w:val="21"/>
          <w:highlight w:val="none"/>
          <w:lang w:val="en-US" w:eastAsia="zh-CN"/>
        </w:rPr>
        <w:t>。</w:t>
      </w:r>
    </w:p>
    <w:p w14:paraId="003815C6">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7F38493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62E6C491">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07A2937D">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4A5E32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7D892A72">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BC3355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B5895AB">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5C1D73A1">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37EF257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0E3AE07F">
      <w:pPr>
        <w:pStyle w:val="9"/>
        <w:keepNext w:val="0"/>
        <w:keepLines w:val="0"/>
        <w:pageBreakBefore w:val="0"/>
        <w:kinsoku/>
        <w:overflowPunct/>
        <w:topLinePunct w:val="0"/>
        <w:bidi w:val="0"/>
        <w:spacing w:line="3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4"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2"/>
        <w:gridCol w:w="1623"/>
        <w:gridCol w:w="7072"/>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00EBEF">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67D278">
            <w:pPr>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(50分)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F74F2A1">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”条款</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共</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的响应程度进行评审：</w:t>
            </w:r>
          </w:p>
          <w:p w14:paraId="31E53F9E">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完全满足或</w:t>
            </w:r>
            <w:r>
              <w:rPr>
                <w:rFonts w:hint="eastAsia" w:ascii="宋体" w:hAnsi="宋体" w:eastAsia="宋体" w:cs="宋体"/>
                <w:color w:val="auto"/>
                <w:szCs w:val="21"/>
                <w:highlight w:val="none"/>
                <w:lang w:val="en-US" w:eastAsia="zh-CN"/>
              </w:rPr>
              <w:t>优</w:t>
            </w:r>
            <w:r>
              <w:rPr>
                <w:rFonts w:hint="eastAsia" w:ascii="宋体" w:hAnsi="宋体" w:eastAsia="宋体" w:cs="宋体"/>
                <w:color w:val="auto"/>
                <w:szCs w:val="21"/>
                <w:highlight w:val="none"/>
              </w:rPr>
              <w:t>于</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需求书的要求，得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p w14:paraId="4D4F03D8">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②存在1项负偏离或未响应，扣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分，扣至0分止。</w:t>
            </w:r>
          </w:p>
          <w:p w14:paraId="15A22D04">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技术要求</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1FE672C7">
            <w:pPr>
              <w:numPr>
                <w:ilvl w:val="0"/>
                <w:numId w:val="0"/>
              </w:num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=一般条款响应程度得分（按四舍五入保留两位）。）</w:t>
            </w:r>
          </w:p>
          <w:p w14:paraId="12F4AE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default" w:ascii="宋体" w:hAnsi="宋体" w:eastAsia="宋体" w:cs="宋体"/>
                <w:color w:val="auto"/>
                <w:sz w:val="21"/>
                <w:szCs w:val="21"/>
                <w:highlight w:val="none"/>
                <w:lang w:val="en-US"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注：本项满分为50分，以采购需求书中要求提供（如有）的证明材料和“附件2参选文件格式（第二次）”要求提供相关证明文件及指引页码作为评审依据，未按要求提供不得分。</w:t>
            </w:r>
          </w:p>
        </w:tc>
      </w:tr>
      <w:tr w14:paraId="46C0208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7F1E8B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30311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业绩经验</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BBCEFD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年1月1日</w:t>
            </w:r>
            <w:r>
              <w:rPr>
                <w:rFonts w:hint="eastAsia" w:ascii="宋体" w:hAnsi="宋体" w:cs="宋体"/>
                <w:color w:val="auto"/>
                <w:sz w:val="21"/>
                <w:szCs w:val="21"/>
                <w:highlight w:val="none"/>
                <w:lang w:val="en-US" w:eastAsia="zh-CN"/>
              </w:rPr>
              <w:t>起至参选截止时间止（</w:t>
            </w:r>
            <w:r>
              <w:rPr>
                <w:rFonts w:hint="eastAsia" w:ascii="宋体" w:hAnsi="宋体" w:eastAsia="宋体" w:cs="宋体"/>
                <w:color w:val="auto"/>
                <w:sz w:val="21"/>
                <w:szCs w:val="21"/>
                <w:highlight w:val="none"/>
                <w:lang w:val="zh-CN" w:eastAsia="zh-CN"/>
              </w:rPr>
              <w:t>以合同签订时间为准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响应供应商承接过同类项目，每提供一个有效业绩得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12EA64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kern w:val="0"/>
                <w:sz w:val="21"/>
                <w:szCs w:val="21"/>
                <w:highlight w:val="yellow"/>
              </w:rPr>
            </w:pPr>
            <w:r>
              <w:rPr>
                <w:rFonts w:hint="eastAsia" w:ascii="宋体" w:hAnsi="宋体" w:eastAsia="宋体" w:cs="宋体"/>
                <w:color w:val="auto"/>
                <w:sz w:val="21"/>
                <w:szCs w:val="21"/>
                <w:highlight w:val="none"/>
                <w:lang w:val="zh-CN" w:eastAsia="zh-CN"/>
              </w:rPr>
              <w:t>注：</w:t>
            </w:r>
            <w:r>
              <w:rPr>
                <w:rFonts w:hint="eastAsia" w:ascii="宋体" w:hAnsi="宋体" w:cs="宋体"/>
                <w:color w:val="auto"/>
                <w:sz w:val="21"/>
                <w:szCs w:val="21"/>
                <w:highlight w:val="none"/>
                <w:lang w:val="en-US" w:eastAsia="zh-CN"/>
              </w:rPr>
              <w:t>须提供同类项目的《业绩情况一览表》，须</w:t>
            </w:r>
            <w:r>
              <w:rPr>
                <w:rFonts w:hint="eastAsia" w:ascii="宋体" w:hAnsi="宋体" w:eastAsia="宋体" w:cs="宋体"/>
                <w:color w:val="auto"/>
                <w:sz w:val="21"/>
                <w:szCs w:val="21"/>
                <w:highlight w:val="none"/>
                <w:lang w:val="zh-CN" w:eastAsia="zh-CN"/>
              </w:rPr>
              <w:t>提供项目合同关键页复印件</w:t>
            </w:r>
            <w:r>
              <w:rPr>
                <w:rFonts w:hint="eastAsia" w:ascii="宋体" w:hAnsi="宋体" w:eastAsia="宋体" w:cs="宋体"/>
                <w:b/>
                <w:bCs/>
                <w:color w:val="auto"/>
                <w:sz w:val="21"/>
                <w:szCs w:val="21"/>
                <w:highlight w:val="none"/>
                <w:lang w:val="zh-CN" w:eastAsia="zh-CN"/>
              </w:rPr>
              <w:t>（包括签订合同双方的单位名称、</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lang w:val="zh-CN" w:eastAsia="zh-CN"/>
              </w:rPr>
              <w:t>项目内容、合同项目名称与含签订合同双方的落款盖章、签订日期</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val="zh-CN" w:eastAsia="zh-CN"/>
              </w:rPr>
              <w:t>加盖供应商公章，不</w:t>
            </w:r>
            <w:r>
              <w:rPr>
                <w:rFonts w:hint="eastAsia" w:ascii="宋体" w:hAnsi="宋体" w:cs="宋体"/>
                <w:b/>
                <w:bCs/>
                <w:color w:val="auto"/>
                <w:sz w:val="21"/>
                <w:szCs w:val="21"/>
                <w:highlight w:val="none"/>
                <w:lang w:val="en-US" w:eastAsia="zh-CN"/>
              </w:rPr>
              <w:t>按要求</w:t>
            </w:r>
            <w:r>
              <w:rPr>
                <w:rFonts w:hint="eastAsia" w:ascii="宋体" w:hAnsi="宋体" w:eastAsia="宋体" w:cs="宋体"/>
                <w:b/>
                <w:bCs/>
                <w:color w:val="auto"/>
                <w:sz w:val="21"/>
                <w:szCs w:val="21"/>
                <w:highlight w:val="none"/>
                <w:lang w:val="zh-CN" w:eastAsia="zh-CN"/>
              </w:rPr>
              <w:t>提供不得分。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F624C16">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技术团队</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投入情况</w:t>
            </w:r>
            <w:r>
              <w:rPr>
                <w:rFonts w:hint="eastAsia" w:ascii="宋体" w:hAnsi="宋体" w:eastAsia="宋体" w:cs="宋体"/>
                <w:sz w:val="21"/>
                <w:szCs w:val="21"/>
                <w:highlight w:val="none"/>
              </w:rPr>
              <w:t xml:space="preserve"> </w:t>
            </w:r>
          </w:p>
          <w:p w14:paraId="3BE718B5">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D50CAF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对本项目拟投入的技术团队情况进行评审：</w:t>
            </w:r>
          </w:p>
          <w:p w14:paraId="58639FE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1.项目负责人/主要人员中有从事相关工作年限8年及以上的得5分；</w:t>
            </w:r>
          </w:p>
          <w:p w14:paraId="01E91CD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2.项目负责人/主要人员中有从事相关工作年限5年及以上的得4分；</w:t>
            </w:r>
          </w:p>
          <w:p w14:paraId="287808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3.项目负责人/主要人员中有从事相关工作年限2年及以上的得3分；</w:t>
            </w:r>
          </w:p>
          <w:p w14:paraId="3B95AF0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4.项目负责人/主要人员中有从事相关工作年限不足2年的得2分；</w:t>
            </w:r>
          </w:p>
          <w:p w14:paraId="214A61E7">
            <w:pPr>
              <w:pStyle w:val="13"/>
              <w:numPr>
                <w:ilvl w:val="0"/>
                <w:numId w:val="0"/>
              </w:numPr>
              <w:tabs>
                <w:tab w:val="left" w:pos="7740"/>
              </w:tabs>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5.未提供的不得分。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18FE37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总体实施方案 </w:t>
            </w:r>
          </w:p>
          <w:p w14:paraId="0F01B8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8FB4C1E">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根据供应商提供的总体实施方案（包括但不限于：服务目标达成措施、服务计划、具体执行措施等）进行评审： </w:t>
            </w:r>
          </w:p>
          <w:p w14:paraId="3B1A4DEA">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1.服务目标达成措施清晰明确，服务计划详尽，执行方案（包括流程、制度等，下同）可操作性强的，得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14:paraId="1539F39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2.服务目标达成措施较为明确，服务计划较为详尽，执行方案可操作性较强的，得</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分；</w:t>
            </w:r>
          </w:p>
          <w:p w14:paraId="656D855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3.服务目标达成措施不明确，服务计划简单粗略，执行方案可操作性较弱的，得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0A4E35B2">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4.服务目标达成措施模糊，服务计划缺失，执行方案可操作性差的，得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24AB8966">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5.未提供相关内容阐述的，不得分。</w:t>
            </w:r>
          </w:p>
        </w:tc>
      </w:tr>
      <w:tr w14:paraId="05EAFE9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458AD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E7168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服务保障方案</w:t>
            </w:r>
          </w:p>
          <w:p w14:paraId="7CD3FD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Theme="minorHAnsi" w:hAnsiTheme="minorHAnsi" w:eastAsiaTheme="minorEastAsia" w:cstheme="minorBidi"/>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14:paraId="3D1159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根据供应商提供的服务保障方案（包括但不限于：服务支撑能力、应急保障机制、售后服务体系等）进行评审：</w:t>
            </w:r>
          </w:p>
          <w:p w14:paraId="1724668C">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1.服务支撑能力强，针对本项目运作相关应急保障机制十分详细合理，售后服务体系非常完善，得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14:paraId="623EB87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2.服务支撑能力较强，针对本项目运作的相关应急保障机制比较合理，售后服务体系较完善，得</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分；</w:t>
            </w:r>
          </w:p>
          <w:p w14:paraId="6E868C5F">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3.服务支撑能力一般，针对本项目良好运作的相关应急保障机制一般，售后服务体系一般的，得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3E705AB7">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4.服务支撑能力弱，未针对本项目提供相关应急保障机制，售后服务体系较差的，得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62846504">
            <w:pPr>
              <w:pStyle w:val="13"/>
              <w:numPr>
                <w:ilvl w:val="0"/>
                <w:numId w:val="0"/>
              </w:numPr>
              <w:tabs>
                <w:tab w:val="left" w:pos="7740"/>
              </w:tabs>
              <w:spacing w:line="240" w:lineRule="auto"/>
              <w:rPr>
                <w:rFonts w:hint="default"/>
                <w:lang w:val="en-US" w:eastAsia="zh-CN"/>
              </w:rPr>
            </w:pPr>
            <w:r>
              <w:rPr>
                <w:rFonts w:hint="eastAsia" w:ascii="宋体" w:hAnsi="宋体" w:eastAsia="宋体" w:cs="宋体"/>
                <w:color w:val="auto"/>
                <w:szCs w:val="21"/>
                <w:highlight w:val="none"/>
                <w:lang w:val="en-US" w:eastAsia="zh-CN"/>
              </w:rPr>
              <w:t>5.未提供相关内容阐述的，不得分。</w:t>
            </w:r>
          </w:p>
        </w:tc>
      </w:tr>
    </w:tbl>
    <w:p w14:paraId="017B83A4">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补充事项</w:t>
      </w:r>
    </w:p>
    <w:p w14:paraId="5755A3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一）当在参选截止时间前提交参选文件的参选人只有两家或经评审通过资格性审查和符合性审查的参选人只有两家或对参选文件作实质响应的参选人只有两家时，评选小组继续按照本次公告的评审方法对参选人进行详细评审，确定拟中选单位（如经评审通过资格性审查和符合性审查且已对参选文件作实质响应的剩下一家，则确定其为拟中选单位）；</w:t>
      </w:r>
    </w:p>
    <w:p w14:paraId="268E5BF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000000"/>
          <w:sz w:val="21"/>
          <w:szCs w:val="21"/>
          <w:lang w:val="en-US" w:eastAsia="zh-CN"/>
        </w:rPr>
        <w:t>（二）当在参选截止时间前提交参选文件的参选人只有一家，经评审通过资格性审查和符合性审查且已对参选文件作实质响应的，则确定其为拟中选单位。</w:t>
      </w:r>
    </w:p>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十一</w:t>
      </w:r>
      <w:r>
        <w:rPr>
          <w:rFonts w:hint="eastAsia" w:ascii="宋体" w:hAnsi="宋体" w:eastAsia="宋体" w:cs="宋体"/>
          <w:b/>
          <w:bCs/>
          <w:color w:val="auto"/>
          <w:sz w:val="21"/>
          <w:szCs w:val="21"/>
          <w:highlight w:val="none"/>
          <w:lang w:eastAsia="zh-CN"/>
        </w:rPr>
        <w:t>、</w:t>
      </w:r>
      <w:bookmarkStart w:id="1" w:name="_GoBack"/>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bookmarkEnd w:id="1"/>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16F283F"/>
    <w:rsid w:val="01B93CB3"/>
    <w:rsid w:val="020A5FE5"/>
    <w:rsid w:val="02AD51D0"/>
    <w:rsid w:val="074F28CD"/>
    <w:rsid w:val="075A0C9C"/>
    <w:rsid w:val="075D0E74"/>
    <w:rsid w:val="07742E26"/>
    <w:rsid w:val="088C3CD7"/>
    <w:rsid w:val="08B42162"/>
    <w:rsid w:val="0A552405"/>
    <w:rsid w:val="0B105E8F"/>
    <w:rsid w:val="0B425501"/>
    <w:rsid w:val="0B5A71A0"/>
    <w:rsid w:val="0DCC347C"/>
    <w:rsid w:val="0F411E6B"/>
    <w:rsid w:val="0F843B2A"/>
    <w:rsid w:val="10FD2C30"/>
    <w:rsid w:val="11F2677F"/>
    <w:rsid w:val="120A5047"/>
    <w:rsid w:val="15A47E31"/>
    <w:rsid w:val="16AF68E3"/>
    <w:rsid w:val="17AD667F"/>
    <w:rsid w:val="18F37183"/>
    <w:rsid w:val="19447D23"/>
    <w:rsid w:val="19C23FFF"/>
    <w:rsid w:val="1B52693D"/>
    <w:rsid w:val="1C1F77F3"/>
    <w:rsid w:val="1CA3450A"/>
    <w:rsid w:val="1D1A254A"/>
    <w:rsid w:val="1DAB3FD6"/>
    <w:rsid w:val="20FF1B2F"/>
    <w:rsid w:val="21164063"/>
    <w:rsid w:val="21316930"/>
    <w:rsid w:val="219C3D3D"/>
    <w:rsid w:val="21E441D2"/>
    <w:rsid w:val="241A2687"/>
    <w:rsid w:val="243F400F"/>
    <w:rsid w:val="253202CD"/>
    <w:rsid w:val="26FF2618"/>
    <w:rsid w:val="2A524C38"/>
    <w:rsid w:val="2E6A0991"/>
    <w:rsid w:val="2ECB7606"/>
    <w:rsid w:val="318A2084"/>
    <w:rsid w:val="32301FF4"/>
    <w:rsid w:val="32862630"/>
    <w:rsid w:val="33AD6EE0"/>
    <w:rsid w:val="33DA0E38"/>
    <w:rsid w:val="34D81478"/>
    <w:rsid w:val="3A822C5D"/>
    <w:rsid w:val="3AEB754D"/>
    <w:rsid w:val="3DD70A23"/>
    <w:rsid w:val="3FC62809"/>
    <w:rsid w:val="410F24F8"/>
    <w:rsid w:val="41B868E9"/>
    <w:rsid w:val="4313251C"/>
    <w:rsid w:val="4667066F"/>
    <w:rsid w:val="488A14A0"/>
    <w:rsid w:val="48B14A50"/>
    <w:rsid w:val="49326564"/>
    <w:rsid w:val="4ACD0CF8"/>
    <w:rsid w:val="4AE91161"/>
    <w:rsid w:val="4F183C27"/>
    <w:rsid w:val="4FA2515B"/>
    <w:rsid w:val="4FF07848"/>
    <w:rsid w:val="51DA0BDC"/>
    <w:rsid w:val="51DE39B0"/>
    <w:rsid w:val="522F7C05"/>
    <w:rsid w:val="52D05187"/>
    <w:rsid w:val="53BE1870"/>
    <w:rsid w:val="540C3F99"/>
    <w:rsid w:val="557E41CD"/>
    <w:rsid w:val="560857B6"/>
    <w:rsid w:val="56EF622F"/>
    <w:rsid w:val="570F19E0"/>
    <w:rsid w:val="57A26C6F"/>
    <w:rsid w:val="57A47613"/>
    <w:rsid w:val="5966506E"/>
    <w:rsid w:val="59761BA9"/>
    <w:rsid w:val="5B8247AD"/>
    <w:rsid w:val="5DDA7107"/>
    <w:rsid w:val="5E3A6528"/>
    <w:rsid w:val="5E4647B1"/>
    <w:rsid w:val="5FA04E1F"/>
    <w:rsid w:val="5FC6594D"/>
    <w:rsid w:val="62503D99"/>
    <w:rsid w:val="631B1778"/>
    <w:rsid w:val="642705C1"/>
    <w:rsid w:val="64313601"/>
    <w:rsid w:val="65933B9B"/>
    <w:rsid w:val="65BD1DC7"/>
    <w:rsid w:val="674D5AB6"/>
    <w:rsid w:val="676D3727"/>
    <w:rsid w:val="67CF408D"/>
    <w:rsid w:val="69D1193E"/>
    <w:rsid w:val="6AD80A32"/>
    <w:rsid w:val="6AEC4466"/>
    <w:rsid w:val="6B8E7F8D"/>
    <w:rsid w:val="6D4F23A8"/>
    <w:rsid w:val="70C54A6B"/>
    <w:rsid w:val="71465789"/>
    <w:rsid w:val="71B92164"/>
    <w:rsid w:val="721D6DAF"/>
    <w:rsid w:val="728C5C5D"/>
    <w:rsid w:val="73314E5B"/>
    <w:rsid w:val="74C9421C"/>
    <w:rsid w:val="760A3CB4"/>
    <w:rsid w:val="77385865"/>
    <w:rsid w:val="7932262E"/>
    <w:rsid w:val="793C6C28"/>
    <w:rsid w:val="795559D4"/>
    <w:rsid w:val="7E540BF3"/>
    <w:rsid w:val="7E5F029D"/>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styleId="26">
    <w:name w:val="List Paragraph"/>
    <w:basedOn w:val="1"/>
    <w:qFormat/>
    <w:uiPriority w:val="34"/>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4157</Words>
  <Characters>4473</Characters>
  <Lines>0</Lines>
  <Paragraphs>0</Paragraphs>
  <TotalTime>2</TotalTime>
  <ScaleCrop>false</ScaleCrop>
  <LinksUpToDate>false</LinksUpToDate>
  <CharactersWithSpaces>4492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2025-10-15T02:12:00Z</cp:lastPrinted>
  <dcterms:modified xsi:type="dcterms:W3CDTF">2025-10-28T07:59:35Z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