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关于变更粤(2025)中山市不动产权第0549594号</w:t>
      </w:r>
    </w:p>
    <w:p w14:paraId="58E28C1D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1250" cy="1809750"/>
            <wp:effectExtent l="0" t="0" r="0" b="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甘健珩用地图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该宗地位于中山市南朗街道南朗村大岭头正街二巷18号，不动产权证号为粤(2025)中山市不动产权第0549594号，证载土地用途为农村宅基地，用地面积为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120.00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甘健珩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-15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南朗镇南朗村片区控制性详细规划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1AA2163"/>
    <w:rsid w:val="180533FE"/>
    <w:rsid w:val="1ABC2BC8"/>
    <w:rsid w:val="1C923177"/>
    <w:rsid w:val="311C1421"/>
    <w:rsid w:val="4FEF1C6D"/>
    <w:rsid w:val="53C600F3"/>
    <w:rsid w:val="5E492473"/>
    <w:rsid w:val="5E4A5563"/>
    <w:rsid w:val="5ED02F09"/>
    <w:rsid w:val="62883C18"/>
    <w:rsid w:val="6A02619E"/>
    <w:rsid w:val="70C24F65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366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2025-10-28T08:47:06Z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6EF6D6699F5C468B9E7CE124A7D9BF7B_13</vt:lpwstr>
  </property>
</Properties>
</file>