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E42FC">
      <w:pPr>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firstLine="0" w:firstLineChars="0"/>
        <w:jc w:val="center"/>
        <w:textAlignment w:val="baseline"/>
        <w:rPr>
          <w:rFonts w:hint="eastAsia" w:ascii="方正小标宋简体" w:hAnsi="方正小标宋简体" w:eastAsia="方正小标宋简体" w:cs="方正小标宋简体"/>
          <w:b w:val="0"/>
          <w:bCs w:val="0"/>
          <w:snapToGrid w:val="0"/>
          <w:color w:val="auto"/>
          <w:spacing w:val="-6"/>
          <w:kern w:val="0"/>
          <w:sz w:val="44"/>
          <w:szCs w:val="44"/>
          <w:highlight w:val="none"/>
          <w:vertAlign w:val="baseline"/>
          <w:lang w:val="en-US" w:eastAsia="zh-CN" w:bidi="ar"/>
        </w:rPr>
      </w:pPr>
      <w:r>
        <w:rPr>
          <w:rFonts w:hint="eastAsia" w:ascii="方正小标宋简体" w:hAnsi="方正小标宋简体" w:eastAsia="方正小标宋简体" w:cs="方正小标宋简体"/>
          <w:b w:val="0"/>
          <w:bCs w:val="0"/>
          <w:snapToGrid w:val="0"/>
          <w:color w:val="auto"/>
          <w:spacing w:val="-6"/>
          <w:kern w:val="0"/>
          <w:sz w:val="44"/>
          <w:szCs w:val="44"/>
          <w:highlight w:val="none"/>
          <w:vertAlign w:val="baseline"/>
          <w:lang w:val="en-US" w:eastAsia="zh-CN" w:bidi="ar"/>
        </w:rPr>
        <w:t>中山市“香山书房”建设申报和运营发展指引</w:t>
      </w:r>
    </w:p>
    <w:p w14:paraId="57E7B630">
      <w:pPr>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firstLine="616" w:firstLineChars="200"/>
        <w:jc w:val="both"/>
        <w:textAlignment w:val="baseline"/>
        <w:rPr>
          <w:rFonts w:hint="eastAsia" w:ascii="仿宋_GB2312" w:eastAsia="仿宋_GB2312" w:cs="仿宋_GB2312"/>
          <w:color w:val="auto"/>
          <w:spacing w:val="-6"/>
          <w:kern w:val="0"/>
          <w:sz w:val="32"/>
          <w:szCs w:val="32"/>
          <w:highlight w:val="none"/>
          <w:vertAlign w:val="baseline"/>
        </w:rPr>
      </w:pPr>
      <w:r>
        <w:rPr>
          <w:rFonts w:hint="eastAsia" w:ascii="仿宋_GB2312" w:hAnsi="Arial" w:eastAsia="仿宋_GB2312" w:cs="仿宋_GB2312"/>
          <w:snapToGrid w:val="0"/>
          <w:color w:val="auto"/>
          <w:spacing w:val="-6"/>
          <w:kern w:val="0"/>
          <w:sz w:val="32"/>
          <w:szCs w:val="32"/>
          <w:highlight w:val="none"/>
          <w:vertAlign w:val="baseline"/>
          <w:lang w:val="en-US" w:eastAsia="zh-CN" w:bidi="ar"/>
        </w:rPr>
        <w:t xml:space="preserve"> </w:t>
      </w:r>
    </w:p>
    <w:p w14:paraId="5088012F">
      <w:pPr>
        <w:keepNext w:val="0"/>
        <w:keepLines w:val="0"/>
        <w:widowControl w:val="0"/>
        <w:suppressLineNumbers w:val="0"/>
        <w:kinsoku w:val="0"/>
        <w:autoSpaceDE w:val="0"/>
        <w:autoSpaceDN w:val="0"/>
        <w:adjustRightInd w:val="0"/>
        <w:snapToGrid w:val="0"/>
        <w:spacing w:before="0" w:beforeAutospacing="0" w:after="0" w:afterAutospacing="0" w:line="574" w:lineRule="exact"/>
        <w:ind w:left="0" w:leftChars="0" w:right="0" w:rightChars="0"/>
        <w:jc w:val="center"/>
        <w:textAlignment w:val="baseline"/>
        <w:outlineLvl w:val="0"/>
        <w:rPr>
          <w:rFonts w:hint="eastAsia" w:ascii="黑体" w:hAnsi="宋体" w:eastAsia="黑体" w:cs="黑体"/>
          <w:b w:val="0"/>
          <w:bCs w:val="0"/>
          <w:spacing w:val="-6"/>
          <w:kern w:val="0"/>
          <w:sz w:val="32"/>
          <w:szCs w:val="32"/>
          <w:highlight w:val="none"/>
          <w:vertAlign w:val="baseline"/>
        </w:rPr>
      </w:pPr>
      <w:r>
        <w:rPr>
          <w:rFonts w:hint="eastAsia" w:ascii="黑体" w:hAnsi="宋体" w:eastAsia="黑体" w:cs="黑体"/>
          <w:b w:val="0"/>
          <w:bCs w:val="0"/>
          <w:snapToGrid w:val="0"/>
          <w:color w:val="000000"/>
          <w:spacing w:val="-6"/>
          <w:kern w:val="0"/>
          <w:sz w:val="32"/>
          <w:szCs w:val="32"/>
          <w:highlight w:val="none"/>
          <w:vertAlign w:val="baseline"/>
          <w:lang w:val="en-US" w:eastAsia="zh-CN" w:bidi="ar"/>
        </w:rPr>
        <w:t>第一章 总则</w:t>
      </w:r>
    </w:p>
    <w:p w14:paraId="23BB4DE3">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firstLine="616" w:firstLineChars="200"/>
        <w:jc w:val="both"/>
        <w:textAlignment w:val="baseline"/>
        <w:rPr>
          <w:rFonts w:hint="eastAsia" w:ascii="仿宋_GB2312" w:hAnsi="Arial" w:eastAsia="仿宋_GB2312" w:cs="仿宋_GB2312"/>
          <w:color w:val="000000"/>
          <w:spacing w:val="-6"/>
          <w:kern w:val="0"/>
          <w:sz w:val="32"/>
          <w:szCs w:val="32"/>
          <w:highlight w:val="none"/>
          <w:vertAlign w:val="baseline"/>
        </w:rPr>
      </w:pPr>
      <w:r>
        <w:rPr>
          <w:rFonts w:hint="eastAsia" w:ascii="楷体_GB2312" w:hAnsi="仿宋" w:eastAsia="楷体_GB2312" w:cs="楷体_GB2312"/>
          <w:b w:val="0"/>
          <w:bCs w:val="0"/>
          <w:color w:val="000000"/>
          <w:spacing w:val="-6"/>
          <w:kern w:val="0"/>
          <w:sz w:val="32"/>
          <w:szCs w:val="32"/>
          <w:highlight w:val="none"/>
          <w:vertAlign w:val="baseline"/>
          <w:lang w:val="en-US" w:eastAsia="zh-CN" w:bidi="ar"/>
        </w:rPr>
        <w:t>第一条</w:t>
      </w:r>
      <w:r>
        <w:rPr>
          <w:rFonts w:hint="eastAsia" w:ascii="仿宋_GB2312" w:hAnsi="仿宋" w:eastAsia="仿宋_GB2312" w:cs="仿宋_GB2312"/>
          <w:color w:val="000000"/>
          <w:spacing w:val="-6"/>
          <w:kern w:val="0"/>
          <w:sz w:val="32"/>
          <w:szCs w:val="32"/>
          <w:highlight w:val="none"/>
          <w:vertAlign w:val="baseline"/>
          <w:lang w:val="en-US" w:eastAsia="zh-CN" w:bidi="ar"/>
        </w:rPr>
        <w:t xml:space="preserve"> 为促进中山市“香山书房”建设，引导和鼓励社会力量有序参与，推动中山市公共文化服务体系高质量发展，更好地满足人民群众高品质文化需求，根据《广东省关于推动社会力量参与公共文化服务的指导意见（试行）》《中山市“香山书房”建设和管理导则》《中山市“香山书房”运营管理实施细则》《中山市“香山书房”退出机制（试行）》等相关规定，结合工作实际，制定本指引。</w:t>
      </w:r>
    </w:p>
    <w:p w14:paraId="2855B1C8">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leftChars="0" w:right="0" w:firstLine="616" w:firstLineChars="200"/>
        <w:jc w:val="both"/>
        <w:textAlignment w:val="baseline"/>
        <w:rPr>
          <w:rFonts w:hint="eastAsia" w:ascii="Times New Roman" w:hAnsi="Times New Roman" w:eastAsia="仿宋_GB2312" w:cs="Times New Roman"/>
          <w:color w:val="000000"/>
          <w:spacing w:val="-6"/>
          <w:kern w:val="0"/>
          <w:sz w:val="32"/>
          <w:szCs w:val="32"/>
          <w:highlight w:val="none"/>
          <w:vertAlign w:val="baseline"/>
        </w:rPr>
      </w:pPr>
      <w:r>
        <w:rPr>
          <w:rFonts w:hint="eastAsia" w:ascii="楷体_GB2312" w:hAnsi="仿宋" w:eastAsia="楷体_GB2312" w:cs="楷体_GB2312"/>
          <w:color w:val="000000"/>
          <w:spacing w:val="-6"/>
          <w:kern w:val="0"/>
          <w:sz w:val="32"/>
          <w:szCs w:val="32"/>
          <w:highlight w:val="none"/>
          <w:vertAlign w:val="baseline"/>
          <w:lang w:val="en-US" w:eastAsia="zh-CN" w:bidi="ar"/>
        </w:rPr>
        <w:t xml:space="preserve">第二条 </w:t>
      </w:r>
      <w:r>
        <w:rPr>
          <w:rFonts w:hint="eastAsia" w:ascii="仿宋_GB2312" w:hAnsi="Times New Roman" w:eastAsia="仿宋_GB2312" w:cs="仿宋_GB2312"/>
          <w:color w:val="000000"/>
          <w:spacing w:val="-6"/>
          <w:kern w:val="0"/>
          <w:sz w:val="32"/>
          <w:szCs w:val="32"/>
          <w:highlight w:val="none"/>
          <w:vertAlign w:val="baseline"/>
          <w:lang w:val="en-US" w:eastAsia="zh-CN" w:bidi="ar"/>
        </w:rPr>
        <w:t>“香山书房”是由政府主导建设，鼓励社会力量参与，按照共建共享原则设立，面向公众免费开放的新型公共文化空间，主要提供图书借阅、信息查询、阅读推广、小型文化艺术活动等公共文化服务，并可根据实际提供便民配套服务。</w:t>
      </w:r>
    </w:p>
    <w:p w14:paraId="000247B8">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firstLine="616" w:firstLineChars="200"/>
        <w:jc w:val="both"/>
        <w:textAlignment w:val="baseline"/>
        <w:rPr>
          <w:rFonts w:hint="default" w:ascii="Times New Roman" w:hAnsi="Times New Roman" w:eastAsia="仿宋_GB2312" w:cs="Times New Roman"/>
          <w:color w:val="000000"/>
          <w:spacing w:val="-6"/>
          <w:kern w:val="0"/>
          <w:sz w:val="32"/>
          <w:szCs w:val="32"/>
          <w:highlight w:val="none"/>
          <w:vertAlign w:val="baseline"/>
        </w:rPr>
      </w:pPr>
      <w:r>
        <w:rPr>
          <w:rFonts w:hint="eastAsia" w:ascii="楷体_GB2312" w:hAnsi="仿宋" w:eastAsia="楷体_GB2312" w:cs="楷体_GB2312"/>
          <w:color w:val="000000"/>
          <w:spacing w:val="-6"/>
          <w:kern w:val="0"/>
          <w:sz w:val="32"/>
          <w:szCs w:val="32"/>
          <w:highlight w:val="none"/>
          <w:vertAlign w:val="baseline"/>
          <w:lang w:val="en-US" w:eastAsia="zh-CN" w:bidi="ar"/>
        </w:rPr>
        <w:t xml:space="preserve">第三条 </w:t>
      </w:r>
      <w:r>
        <w:rPr>
          <w:rFonts w:hint="eastAsia" w:ascii="仿宋_GB2312" w:hAnsi="Times New Roman" w:eastAsia="仿宋_GB2312" w:cs="仿宋_GB2312"/>
          <w:color w:val="000000"/>
          <w:spacing w:val="-6"/>
          <w:kern w:val="0"/>
          <w:sz w:val="32"/>
          <w:szCs w:val="32"/>
          <w:highlight w:val="none"/>
          <w:vertAlign w:val="baseline"/>
          <w:lang w:val="en-US" w:eastAsia="zh-CN" w:bidi="ar"/>
        </w:rPr>
        <w:t>本指引</w:t>
      </w:r>
      <w:r>
        <w:rPr>
          <w:rFonts w:hint="eastAsia" w:ascii="仿宋_GB2312" w:hAnsi="仿宋" w:eastAsia="仿宋_GB2312" w:cs="仿宋_GB2312"/>
          <w:color w:val="000000"/>
          <w:spacing w:val="-6"/>
          <w:kern w:val="0"/>
          <w:sz w:val="32"/>
          <w:szCs w:val="32"/>
          <w:highlight w:val="none"/>
          <w:vertAlign w:val="baseline"/>
          <w:lang w:val="en-US" w:eastAsia="zh-CN" w:bidi="ar"/>
        </w:rPr>
        <w:t>适用于“香山书房”建设申报与运营发展工作，</w:t>
      </w:r>
      <w:r>
        <w:rPr>
          <w:rFonts w:hint="eastAsia" w:ascii="仿宋_GB2312" w:hAnsi="Times New Roman" w:eastAsia="仿宋_GB2312" w:cs="仿宋_GB2312"/>
          <w:color w:val="000000"/>
          <w:spacing w:val="-6"/>
          <w:kern w:val="0"/>
          <w:sz w:val="32"/>
          <w:szCs w:val="32"/>
          <w:highlight w:val="none"/>
          <w:vertAlign w:val="baseline"/>
          <w:lang w:val="en-US" w:eastAsia="zh-CN" w:bidi="ar"/>
        </w:rPr>
        <w:t>适用对象为</w:t>
      </w:r>
      <w:r>
        <w:rPr>
          <w:rFonts w:hint="eastAsia" w:ascii="仿宋_GB2312" w:hAnsi="仿宋" w:eastAsia="仿宋_GB2312" w:cs="仿宋_GB2312"/>
          <w:color w:val="000000"/>
          <w:spacing w:val="-6"/>
          <w:kern w:val="0"/>
          <w:sz w:val="32"/>
          <w:szCs w:val="32"/>
          <w:highlight w:val="none"/>
          <w:vertAlign w:val="baseline"/>
          <w:lang w:val="en-US" w:eastAsia="zh-CN" w:bidi="ar"/>
        </w:rPr>
        <w:t>“</w:t>
      </w:r>
      <w:r>
        <w:rPr>
          <w:rFonts w:hint="eastAsia" w:ascii="仿宋_GB2312" w:hAnsi="Times New Roman" w:eastAsia="仿宋_GB2312" w:cs="仿宋_GB2312"/>
          <w:color w:val="000000"/>
          <w:spacing w:val="-6"/>
          <w:kern w:val="0"/>
          <w:sz w:val="32"/>
          <w:szCs w:val="32"/>
          <w:highlight w:val="none"/>
          <w:vertAlign w:val="baseline"/>
          <w:lang w:val="en-US" w:eastAsia="zh-CN" w:bidi="ar"/>
        </w:rPr>
        <w:t>香山书房</w:t>
      </w:r>
      <w:r>
        <w:rPr>
          <w:rFonts w:hint="eastAsia" w:ascii="仿宋_GB2312" w:hAnsi="仿宋" w:eastAsia="仿宋_GB2312" w:cs="仿宋_GB2312"/>
          <w:color w:val="000000"/>
          <w:spacing w:val="-6"/>
          <w:kern w:val="0"/>
          <w:sz w:val="32"/>
          <w:szCs w:val="32"/>
          <w:highlight w:val="none"/>
          <w:vertAlign w:val="baseline"/>
          <w:lang w:val="en-US" w:eastAsia="zh-CN" w:bidi="ar"/>
        </w:rPr>
        <w:t>”</w:t>
      </w:r>
      <w:r>
        <w:rPr>
          <w:rFonts w:hint="eastAsia" w:ascii="仿宋_GB2312" w:hAnsi="Times New Roman" w:eastAsia="仿宋_GB2312" w:cs="仿宋_GB2312"/>
          <w:color w:val="000000"/>
          <w:spacing w:val="-6"/>
          <w:kern w:val="0"/>
          <w:sz w:val="32"/>
          <w:szCs w:val="32"/>
          <w:highlight w:val="none"/>
          <w:vertAlign w:val="baseline"/>
          <w:lang w:val="en-US" w:eastAsia="zh-CN" w:bidi="ar"/>
        </w:rPr>
        <w:t>的建设主体、申报主体和运营主体。</w:t>
      </w:r>
    </w:p>
    <w:p w14:paraId="20D0454B">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firstLine="616" w:firstLineChars="200"/>
        <w:jc w:val="both"/>
        <w:textAlignment w:val="baseline"/>
        <w:rPr>
          <w:rFonts w:hint="eastAsia" w:ascii="仿宋_GB2312" w:hAnsi="Arial" w:eastAsia="仿宋_GB2312" w:cs="仿宋_GB2312"/>
          <w:color w:val="000000"/>
          <w:spacing w:val="-6"/>
          <w:kern w:val="0"/>
          <w:sz w:val="32"/>
          <w:szCs w:val="32"/>
          <w:highlight w:val="none"/>
          <w:vertAlign w:val="baseline"/>
        </w:rPr>
      </w:pPr>
      <w:r>
        <w:rPr>
          <w:rFonts w:hint="eastAsia" w:ascii="仿宋_GB2312" w:hAnsi="仿宋" w:eastAsia="仿宋_GB2312" w:cs="仿宋_GB2312"/>
          <w:color w:val="000000"/>
          <w:spacing w:val="-6"/>
          <w:kern w:val="0"/>
          <w:sz w:val="32"/>
          <w:szCs w:val="32"/>
          <w:highlight w:val="none"/>
          <w:vertAlign w:val="baseline"/>
          <w:lang w:val="en-US" w:eastAsia="zh-CN" w:bidi="ar"/>
        </w:rPr>
        <w:t xml:space="preserve"> </w:t>
      </w:r>
    </w:p>
    <w:p w14:paraId="3CB156C9">
      <w:pPr>
        <w:keepNext w:val="0"/>
        <w:keepLines w:val="0"/>
        <w:widowControl w:val="0"/>
        <w:suppressLineNumbers w:val="0"/>
        <w:kinsoku w:val="0"/>
        <w:autoSpaceDE w:val="0"/>
        <w:autoSpaceDN w:val="0"/>
        <w:adjustRightInd w:val="0"/>
        <w:snapToGrid w:val="0"/>
        <w:spacing w:before="0" w:beforeAutospacing="0" w:after="0" w:afterAutospacing="0" w:line="574" w:lineRule="exact"/>
        <w:ind w:left="0" w:leftChars="0" w:right="0" w:rightChars="0"/>
        <w:jc w:val="center"/>
        <w:textAlignment w:val="baseline"/>
        <w:outlineLvl w:val="0"/>
        <w:rPr>
          <w:rFonts w:hint="eastAsia" w:ascii="黑体" w:hAnsi="宋体" w:eastAsia="黑体" w:cs="黑体"/>
          <w:b w:val="0"/>
          <w:bCs w:val="0"/>
          <w:spacing w:val="-6"/>
          <w:kern w:val="0"/>
          <w:sz w:val="32"/>
          <w:szCs w:val="32"/>
          <w:highlight w:val="none"/>
          <w:vertAlign w:val="baseline"/>
        </w:rPr>
      </w:pPr>
      <w:r>
        <w:rPr>
          <w:rFonts w:hint="eastAsia" w:ascii="黑体" w:hAnsi="宋体" w:eastAsia="黑体" w:cs="黑体"/>
          <w:b w:val="0"/>
          <w:bCs w:val="0"/>
          <w:snapToGrid w:val="0"/>
          <w:color w:val="000000"/>
          <w:spacing w:val="-6"/>
          <w:kern w:val="0"/>
          <w:sz w:val="32"/>
          <w:szCs w:val="32"/>
          <w:highlight w:val="none"/>
          <w:vertAlign w:val="baseline"/>
          <w:lang w:val="en-US" w:eastAsia="zh-CN" w:bidi="ar"/>
        </w:rPr>
        <w:t>第二章 主体概述</w:t>
      </w:r>
    </w:p>
    <w:p w14:paraId="686499A3">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firstLine="616" w:firstLineChars="200"/>
        <w:jc w:val="both"/>
        <w:textAlignment w:val="baseline"/>
        <w:rPr>
          <w:rFonts w:hint="eastAsia" w:ascii="仿宋_GB2312" w:hAnsi="Arial" w:eastAsia="仿宋_GB2312" w:cs="仿宋_GB2312"/>
          <w:color w:val="000000"/>
          <w:spacing w:val="-6"/>
          <w:kern w:val="0"/>
          <w:sz w:val="32"/>
          <w:szCs w:val="32"/>
          <w:highlight w:val="none"/>
          <w:vertAlign w:val="baseline"/>
        </w:rPr>
      </w:pPr>
      <w:r>
        <w:rPr>
          <w:rFonts w:hint="eastAsia" w:ascii="楷体_GB2312" w:hAnsi="仿宋" w:eastAsia="楷体_GB2312" w:cs="楷体_GB2312"/>
          <w:b w:val="0"/>
          <w:bCs w:val="0"/>
          <w:color w:val="000000"/>
          <w:spacing w:val="-6"/>
          <w:kern w:val="0"/>
          <w:sz w:val="32"/>
          <w:szCs w:val="32"/>
          <w:highlight w:val="none"/>
          <w:vertAlign w:val="baseline"/>
          <w:lang w:val="en-US" w:eastAsia="zh-CN" w:bidi="ar"/>
        </w:rPr>
        <w:t xml:space="preserve">第四条 </w:t>
      </w:r>
      <w:r>
        <w:rPr>
          <w:rFonts w:hint="eastAsia" w:ascii="仿宋_GB2312" w:hAnsi="仿宋" w:eastAsia="仿宋_GB2312" w:cs="仿宋_GB2312"/>
          <w:color w:val="000000"/>
          <w:spacing w:val="-6"/>
          <w:kern w:val="0"/>
          <w:sz w:val="32"/>
          <w:szCs w:val="32"/>
          <w:highlight w:val="none"/>
          <w:vertAlign w:val="baseline"/>
          <w:lang w:val="en-US" w:eastAsia="zh-CN" w:bidi="ar"/>
        </w:rPr>
        <w:t>建设主体</w:t>
      </w:r>
    </w:p>
    <w:p w14:paraId="3D01D71D">
      <w:pPr>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rightChars="0" w:firstLine="616" w:firstLineChars="200"/>
        <w:jc w:val="both"/>
        <w:textAlignment w:val="baseline"/>
        <w:outlineLvl w:val="0"/>
        <w:rPr>
          <w:rFonts w:hint="eastAsia" w:ascii="仿宋_GB2312" w:hAnsi="Arial" w:eastAsia="仿宋_GB2312" w:cs="仿宋_GB2312"/>
          <w:spacing w:val="-6"/>
          <w:kern w:val="0"/>
          <w:sz w:val="32"/>
          <w:szCs w:val="32"/>
          <w:highlight w:val="none"/>
          <w:vertAlign w:val="baseline"/>
        </w:rPr>
      </w:pPr>
      <w:r>
        <w:rPr>
          <w:rFonts w:hint="eastAsia" w:ascii="仿宋_GB2312" w:hAnsi="Arial" w:eastAsia="仿宋_GB2312" w:cs="仿宋_GB2312"/>
          <w:snapToGrid w:val="0"/>
          <w:color w:val="000000"/>
          <w:spacing w:val="-6"/>
          <w:kern w:val="0"/>
          <w:sz w:val="32"/>
          <w:szCs w:val="32"/>
          <w:highlight w:val="none"/>
          <w:vertAlign w:val="baseline"/>
          <w:lang w:val="en-US" w:eastAsia="zh-CN" w:bidi="ar"/>
        </w:rPr>
        <w:t>（一）建设主体负责“香山书房”建设，落实建设资金，保障运营管理。</w:t>
      </w:r>
    </w:p>
    <w:p w14:paraId="3CB40BFA">
      <w:pPr>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rightChars="0" w:firstLine="616" w:firstLineChars="200"/>
        <w:jc w:val="both"/>
        <w:textAlignment w:val="baseline"/>
        <w:outlineLvl w:val="0"/>
        <w:rPr>
          <w:rFonts w:hint="eastAsia" w:ascii="仿宋_GB2312" w:hAnsi="Arial" w:eastAsia="仿宋_GB2312" w:cs="仿宋_GB2312"/>
          <w:spacing w:val="-6"/>
          <w:kern w:val="0"/>
          <w:sz w:val="32"/>
          <w:szCs w:val="32"/>
          <w:highlight w:val="none"/>
          <w:vertAlign w:val="baseline"/>
        </w:rPr>
      </w:pPr>
      <w:r>
        <w:rPr>
          <w:rFonts w:hint="eastAsia" w:ascii="仿宋_GB2312" w:hAnsi="Arial" w:eastAsia="仿宋_GB2312" w:cs="仿宋_GB2312"/>
          <w:snapToGrid w:val="0"/>
          <w:color w:val="000000"/>
          <w:spacing w:val="-6"/>
          <w:kern w:val="0"/>
          <w:sz w:val="32"/>
          <w:szCs w:val="32"/>
          <w:highlight w:val="none"/>
          <w:vertAlign w:val="baseline"/>
          <w:lang w:val="en-US" w:eastAsia="zh-CN" w:bidi="ar"/>
        </w:rPr>
        <w:t>（二）市属机关单位</w:t>
      </w:r>
      <w:r>
        <w:rPr>
          <w:rFonts w:hint="eastAsia" w:ascii="仿宋_GB2312" w:hAnsi="Arial" w:eastAsia="仿宋_GB2312" w:cs="仿宋_GB2312"/>
          <w:snapToGrid w:val="0"/>
          <w:color w:val="000000"/>
          <w:spacing w:val="-6"/>
          <w:kern w:val="0"/>
          <w:sz w:val="32"/>
          <w:szCs w:val="32"/>
          <w:highlight w:val="none"/>
          <w:vertAlign w:val="baseline"/>
          <w:lang w:val="en-US" w:eastAsia="zh-CN" w:bidi="ar"/>
        </w:rPr>
        <w:t>，</w:t>
      </w:r>
      <w:r>
        <w:rPr>
          <w:rFonts w:hint="eastAsia" w:ascii="仿宋_GB2312" w:hAnsi="Arial" w:eastAsia="仿宋_GB2312" w:cs="仿宋_GB2312"/>
          <w:snapToGrid w:val="0"/>
          <w:color w:val="000000"/>
          <w:spacing w:val="-6"/>
          <w:kern w:val="0"/>
          <w:sz w:val="32"/>
          <w:szCs w:val="32"/>
          <w:highlight w:val="none"/>
          <w:vertAlign w:val="baseline"/>
          <w:lang w:val="en-US" w:eastAsia="zh-CN" w:bidi="ar"/>
        </w:rPr>
        <w:t>火炬开发区管委会</w:t>
      </w:r>
      <w:r>
        <w:rPr>
          <w:rFonts w:hint="eastAsia" w:ascii="仿宋_GB2312" w:hAnsi="Arial" w:eastAsia="仿宋_GB2312" w:cs="仿宋_GB2312"/>
          <w:snapToGrid w:val="0"/>
          <w:color w:val="000000"/>
          <w:spacing w:val="-6"/>
          <w:kern w:val="0"/>
          <w:sz w:val="32"/>
          <w:szCs w:val="32"/>
          <w:highlight w:val="none"/>
          <w:vertAlign w:val="baseline"/>
          <w:lang w:val="en-US" w:eastAsia="zh-CN" w:bidi="ar"/>
        </w:rPr>
        <w:t>，</w:t>
      </w:r>
      <w:r>
        <w:rPr>
          <w:rFonts w:hint="eastAsia" w:ascii="仿宋_GB2312" w:hAnsi="Arial" w:eastAsia="仿宋_GB2312" w:cs="仿宋_GB2312"/>
          <w:snapToGrid w:val="0"/>
          <w:color w:val="000000"/>
          <w:spacing w:val="-6"/>
          <w:kern w:val="0"/>
          <w:sz w:val="32"/>
          <w:szCs w:val="32"/>
          <w:highlight w:val="none"/>
          <w:vertAlign w:val="baseline"/>
          <w:lang w:val="en-US" w:eastAsia="zh-CN" w:bidi="ar"/>
        </w:rPr>
        <w:t>翠亨新区管委会</w:t>
      </w:r>
      <w:r>
        <w:rPr>
          <w:rFonts w:hint="eastAsia" w:ascii="仿宋_GB2312" w:hAnsi="Arial" w:eastAsia="仿宋_GB2312" w:cs="仿宋_GB2312"/>
          <w:snapToGrid w:val="0"/>
          <w:color w:val="000000"/>
          <w:spacing w:val="-6"/>
          <w:kern w:val="0"/>
          <w:sz w:val="32"/>
          <w:szCs w:val="32"/>
          <w:highlight w:val="none"/>
          <w:vertAlign w:val="baseline"/>
          <w:lang w:val="en-US" w:eastAsia="zh-CN" w:bidi="ar"/>
        </w:rPr>
        <w:t>，</w:t>
      </w:r>
      <w:r>
        <w:rPr>
          <w:rFonts w:hint="eastAsia" w:ascii="仿宋_GB2312" w:hAnsi="Arial" w:eastAsia="仿宋_GB2312" w:cs="仿宋_GB2312"/>
          <w:b w:val="0"/>
          <w:bCs w:val="0"/>
          <w:snapToGrid w:val="0"/>
          <w:color w:val="000000"/>
          <w:spacing w:val="-6"/>
          <w:kern w:val="0"/>
          <w:sz w:val="32"/>
          <w:szCs w:val="32"/>
          <w:highlight w:val="none"/>
          <w:vertAlign w:val="baseline"/>
          <w:lang w:val="en-US" w:eastAsia="zh-CN" w:bidi="ar"/>
        </w:rPr>
        <w:t>各镇人民政府、街道办事处</w:t>
      </w:r>
      <w:r>
        <w:rPr>
          <w:rFonts w:hint="eastAsia" w:ascii="仿宋_GB2312" w:hAnsi="Arial" w:eastAsia="仿宋_GB2312" w:cs="仿宋_GB2312"/>
          <w:b w:val="0"/>
          <w:bCs w:val="0"/>
          <w:snapToGrid w:val="0"/>
          <w:color w:val="000000"/>
          <w:spacing w:val="-6"/>
          <w:kern w:val="0"/>
          <w:sz w:val="32"/>
          <w:szCs w:val="32"/>
          <w:highlight w:val="none"/>
          <w:vertAlign w:val="baseline"/>
          <w:lang w:val="en-US" w:eastAsia="zh-CN" w:bidi="ar"/>
        </w:rPr>
        <w:t>，</w:t>
      </w:r>
      <w:r>
        <w:rPr>
          <w:rFonts w:hint="eastAsia" w:ascii="仿宋_GB2312" w:eastAsia="仿宋_GB2312" w:cs="仿宋_GB2312"/>
          <w:b w:val="0"/>
          <w:bCs w:val="0"/>
          <w:snapToGrid w:val="0"/>
          <w:color w:val="000000"/>
          <w:spacing w:val="-6"/>
          <w:kern w:val="0"/>
          <w:sz w:val="32"/>
          <w:szCs w:val="32"/>
          <w:highlight w:val="none"/>
          <w:vertAlign w:val="baseline"/>
          <w:lang w:val="en-US" w:eastAsia="zh" w:bidi="ar"/>
          <w:woUserID w:val="1"/>
        </w:rPr>
        <w:t>或</w:t>
      </w:r>
      <w:bookmarkStart w:id="0" w:name="_GoBack"/>
      <w:bookmarkEnd w:id="0"/>
      <w:r>
        <w:rPr>
          <w:rFonts w:hint="eastAsia" w:ascii="仿宋_GB2312" w:hAnsi="Arial" w:eastAsia="仿宋_GB2312" w:cs="仿宋_GB2312"/>
          <w:snapToGrid w:val="0"/>
          <w:color w:val="000000"/>
          <w:spacing w:val="-6"/>
          <w:kern w:val="0"/>
          <w:sz w:val="32"/>
          <w:szCs w:val="32"/>
          <w:highlight w:val="none"/>
          <w:vertAlign w:val="baseline"/>
          <w:lang w:val="en-US" w:eastAsia="zh-CN" w:bidi="ar"/>
        </w:rPr>
        <w:t>在</w:t>
      </w:r>
      <w:r>
        <w:rPr>
          <w:rFonts w:hint="eastAsia" w:ascii="仿宋_GB2312" w:hAnsi="Arial" w:eastAsia="仿宋_GB2312" w:cs="仿宋_GB2312"/>
          <w:snapToGrid w:val="0"/>
          <w:color w:val="000000"/>
          <w:spacing w:val="-6"/>
          <w:kern w:val="0"/>
          <w:sz w:val="32"/>
          <w:szCs w:val="32"/>
          <w:highlight w:val="none"/>
          <w:vertAlign w:val="baseline"/>
          <w:lang w:val="en-US" w:eastAsia="zh-CN" w:bidi="ar"/>
        </w:rPr>
        <w:t>中山市依法注册的具备独立承担民事责任能力的企事业单位，可作为“香山书房”建设主体。</w:t>
      </w:r>
    </w:p>
    <w:p w14:paraId="577EE6E3">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firstLine="616" w:firstLineChars="200"/>
        <w:jc w:val="both"/>
        <w:textAlignment w:val="baseline"/>
        <w:rPr>
          <w:rFonts w:hint="eastAsia" w:ascii="仿宋_GB2312" w:hAnsi="仿宋" w:eastAsia="仿宋_GB2312" w:cs="仿宋_GB2312"/>
          <w:color w:val="000000"/>
          <w:spacing w:val="-6"/>
          <w:kern w:val="0"/>
          <w:sz w:val="32"/>
          <w:szCs w:val="32"/>
          <w:highlight w:val="none"/>
          <w:vertAlign w:val="baseline"/>
        </w:rPr>
      </w:pPr>
      <w:r>
        <w:rPr>
          <w:rFonts w:hint="eastAsia" w:ascii="楷体_GB2312" w:hAnsi="仿宋" w:eastAsia="楷体_GB2312" w:cs="楷体_GB2312"/>
          <w:b w:val="0"/>
          <w:bCs w:val="0"/>
          <w:color w:val="000000"/>
          <w:spacing w:val="-6"/>
          <w:kern w:val="0"/>
          <w:sz w:val="32"/>
          <w:szCs w:val="32"/>
          <w:highlight w:val="none"/>
          <w:vertAlign w:val="baseline"/>
          <w:lang w:val="en-US" w:eastAsia="zh-CN" w:bidi="ar"/>
        </w:rPr>
        <w:t xml:space="preserve">第五条 </w:t>
      </w:r>
      <w:r>
        <w:rPr>
          <w:rFonts w:hint="eastAsia" w:ascii="仿宋_GB2312" w:hAnsi="仿宋" w:eastAsia="仿宋_GB2312" w:cs="仿宋_GB2312"/>
          <w:color w:val="000000"/>
          <w:spacing w:val="-6"/>
          <w:kern w:val="0"/>
          <w:sz w:val="32"/>
          <w:szCs w:val="32"/>
          <w:highlight w:val="none"/>
          <w:vertAlign w:val="baseline"/>
          <w:lang w:val="en-US" w:eastAsia="zh-CN" w:bidi="ar"/>
        </w:rPr>
        <w:t>申报主体</w:t>
      </w:r>
    </w:p>
    <w:p w14:paraId="03F88BBD">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firstLine="616" w:firstLineChars="200"/>
        <w:jc w:val="both"/>
        <w:textAlignment w:val="baseline"/>
        <w:rPr>
          <w:rFonts w:hint="eastAsia" w:ascii="仿宋_GB2312" w:hAnsi="仿宋" w:eastAsia="仿宋_GB2312" w:cs="仿宋_GB2312"/>
          <w:color w:val="000000"/>
          <w:spacing w:val="-6"/>
          <w:kern w:val="0"/>
          <w:sz w:val="32"/>
          <w:szCs w:val="32"/>
          <w:highlight w:val="none"/>
          <w:vertAlign w:val="baseline"/>
        </w:rPr>
      </w:pPr>
      <w:r>
        <w:rPr>
          <w:rFonts w:hint="eastAsia" w:ascii="仿宋_GB2312" w:hAnsi="仿宋" w:eastAsia="仿宋_GB2312" w:cs="仿宋_GB2312"/>
          <w:color w:val="000000"/>
          <w:spacing w:val="-6"/>
          <w:kern w:val="0"/>
          <w:sz w:val="32"/>
          <w:szCs w:val="32"/>
          <w:highlight w:val="none"/>
          <w:vertAlign w:val="baseline"/>
          <w:lang w:val="en-US" w:eastAsia="zh-CN" w:bidi="ar"/>
        </w:rPr>
        <w:t>（一）申报主体负责向中山市文化广电旅游局提交“香山书房”建设申请与申报材料。</w:t>
      </w:r>
    </w:p>
    <w:p w14:paraId="39BD6567">
      <w:pPr>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rightChars="0" w:firstLine="616" w:firstLineChars="200"/>
        <w:jc w:val="both"/>
        <w:textAlignment w:val="baseline"/>
        <w:outlineLvl w:val="0"/>
        <w:rPr>
          <w:rFonts w:hint="eastAsia" w:ascii="仿宋_GB2312" w:hAnsi="Arial" w:eastAsia="仿宋_GB2312" w:cs="仿宋_GB2312"/>
          <w:spacing w:val="-6"/>
          <w:kern w:val="0"/>
          <w:sz w:val="32"/>
          <w:szCs w:val="32"/>
          <w:highlight w:val="none"/>
          <w:vertAlign w:val="baseline"/>
        </w:rPr>
      </w:pPr>
      <w:r>
        <w:rPr>
          <w:rFonts w:hint="eastAsia" w:ascii="仿宋_GB2312" w:hAnsi="Arial" w:eastAsia="仿宋_GB2312" w:cs="仿宋_GB2312"/>
          <w:snapToGrid w:val="0"/>
          <w:color w:val="000000"/>
          <w:spacing w:val="-6"/>
          <w:kern w:val="0"/>
          <w:sz w:val="32"/>
          <w:szCs w:val="32"/>
          <w:highlight w:val="none"/>
          <w:vertAlign w:val="baseline"/>
          <w:lang w:val="en-US" w:eastAsia="zh-CN" w:bidi="ar"/>
        </w:rPr>
        <w:t>（二）市属机关单位及其下属企事业单位</w:t>
      </w:r>
      <w:r>
        <w:rPr>
          <w:rFonts w:hint="eastAsia" w:ascii="仿宋_GB2312" w:hAnsi="Arial" w:eastAsia="仿宋_GB2312" w:cs="仿宋_GB2312"/>
          <w:snapToGrid w:val="0"/>
          <w:color w:val="000000"/>
          <w:spacing w:val="-6"/>
          <w:kern w:val="0"/>
          <w:sz w:val="32"/>
          <w:szCs w:val="32"/>
          <w:highlight w:val="none"/>
          <w:vertAlign w:val="baseline"/>
          <w:lang w:val="en-US" w:eastAsia="zh-CN" w:bidi="ar"/>
        </w:rPr>
        <w:t>，</w:t>
      </w:r>
      <w:r>
        <w:rPr>
          <w:rFonts w:hint="eastAsia" w:ascii="仿宋_GB2312" w:hAnsi="Arial" w:eastAsia="仿宋_GB2312" w:cs="仿宋_GB2312"/>
          <w:snapToGrid w:val="0"/>
          <w:color w:val="000000"/>
          <w:spacing w:val="-6"/>
          <w:kern w:val="0"/>
          <w:sz w:val="32"/>
          <w:szCs w:val="32"/>
          <w:highlight w:val="none"/>
          <w:vertAlign w:val="baseline"/>
          <w:lang w:val="en-US" w:eastAsia="zh-CN" w:bidi="ar"/>
        </w:rPr>
        <w:t>火炬开发区管委会</w:t>
      </w:r>
      <w:r>
        <w:rPr>
          <w:rFonts w:hint="eastAsia" w:ascii="仿宋_GB2312" w:hAnsi="Arial" w:eastAsia="仿宋_GB2312" w:cs="仿宋_GB2312"/>
          <w:snapToGrid w:val="0"/>
          <w:color w:val="000000"/>
          <w:spacing w:val="-6"/>
          <w:kern w:val="0"/>
          <w:sz w:val="32"/>
          <w:szCs w:val="32"/>
          <w:highlight w:val="none"/>
          <w:vertAlign w:val="baseline"/>
          <w:lang w:val="en-US" w:eastAsia="zh-CN" w:bidi="ar"/>
        </w:rPr>
        <w:t>，</w:t>
      </w:r>
      <w:r>
        <w:rPr>
          <w:rFonts w:hint="eastAsia" w:ascii="仿宋_GB2312" w:hAnsi="Arial" w:eastAsia="仿宋_GB2312" w:cs="仿宋_GB2312"/>
          <w:snapToGrid w:val="0"/>
          <w:color w:val="000000"/>
          <w:spacing w:val="-6"/>
          <w:kern w:val="0"/>
          <w:sz w:val="32"/>
          <w:szCs w:val="32"/>
          <w:highlight w:val="none"/>
          <w:vertAlign w:val="baseline"/>
          <w:lang w:val="en-US" w:eastAsia="zh-CN" w:bidi="ar"/>
        </w:rPr>
        <w:t>翠亨新区管委会</w:t>
      </w:r>
      <w:r>
        <w:rPr>
          <w:rFonts w:hint="eastAsia" w:ascii="仿宋_GB2312" w:hAnsi="Arial" w:eastAsia="仿宋_GB2312" w:cs="仿宋_GB2312"/>
          <w:snapToGrid w:val="0"/>
          <w:color w:val="000000"/>
          <w:spacing w:val="-6"/>
          <w:kern w:val="0"/>
          <w:sz w:val="32"/>
          <w:szCs w:val="32"/>
          <w:highlight w:val="none"/>
          <w:vertAlign w:val="baseline"/>
          <w:lang w:val="en-US" w:eastAsia="zh-CN" w:bidi="ar"/>
        </w:rPr>
        <w:t>，</w:t>
      </w:r>
      <w:r>
        <w:rPr>
          <w:rFonts w:hint="eastAsia" w:ascii="仿宋_GB2312" w:hAnsi="Arial" w:eastAsia="仿宋_GB2312" w:cs="仿宋_GB2312"/>
          <w:b w:val="0"/>
          <w:bCs w:val="0"/>
          <w:snapToGrid w:val="0"/>
          <w:color w:val="000000"/>
          <w:spacing w:val="-6"/>
          <w:kern w:val="0"/>
          <w:sz w:val="32"/>
          <w:szCs w:val="32"/>
          <w:highlight w:val="none"/>
          <w:vertAlign w:val="baseline"/>
          <w:lang w:val="en-US" w:eastAsia="zh-CN" w:bidi="ar"/>
        </w:rPr>
        <w:t>各镇人民政府、街道办事处作为建设主体的，可直接成为</w:t>
      </w:r>
      <w:r>
        <w:rPr>
          <w:rFonts w:hint="eastAsia" w:ascii="仿宋_GB2312" w:hAnsi="Arial" w:eastAsia="仿宋_GB2312" w:cs="仿宋_GB2312"/>
          <w:snapToGrid w:val="0"/>
          <w:color w:val="000000"/>
          <w:spacing w:val="-6"/>
          <w:kern w:val="0"/>
          <w:sz w:val="32"/>
          <w:szCs w:val="32"/>
          <w:highlight w:val="none"/>
          <w:vertAlign w:val="baseline"/>
          <w:lang w:val="en-US" w:eastAsia="zh-CN" w:bidi="ar"/>
        </w:rPr>
        <w:t>申报主体。</w:t>
      </w:r>
    </w:p>
    <w:p w14:paraId="00DC6546">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firstLine="616" w:firstLineChars="200"/>
        <w:jc w:val="both"/>
        <w:textAlignment w:val="baseline"/>
        <w:rPr>
          <w:rFonts w:hint="eastAsia" w:ascii="仿宋_GB2312" w:hAnsi="Arial" w:eastAsia="仿宋_GB2312" w:cs="仿宋_GB2312"/>
          <w:color w:val="000000"/>
          <w:spacing w:val="-6"/>
          <w:kern w:val="0"/>
          <w:sz w:val="32"/>
          <w:szCs w:val="32"/>
          <w:highlight w:val="none"/>
          <w:vertAlign w:val="baseline"/>
        </w:rPr>
      </w:pPr>
      <w:r>
        <w:rPr>
          <w:rFonts w:hint="eastAsia" w:ascii="仿宋_GB2312" w:hAnsi="仿宋" w:eastAsia="仿宋_GB2312" w:cs="仿宋_GB2312"/>
          <w:color w:val="000000"/>
          <w:spacing w:val="-6"/>
          <w:kern w:val="0"/>
          <w:sz w:val="32"/>
          <w:szCs w:val="32"/>
          <w:highlight w:val="none"/>
          <w:vertAlign w:val="baseline"/>
          <w:lang w:val="en-US" w:eastAsia="zh-CN" w:bidi="ar"/>
        </w:rPr>
        <w:t>（三）其他机构作为建设主体的，需由属地</w:t>
      </w:r>
      <w:r>
        <w:rPr>
          <w:rFonts w:hint="eastAsia" w:ascii="仿宋_GB2312" w:hAnsi="仿宋" w:eastAsia="仿宋_GB2312" w:cs="仿宋_GB2312"/>
          <w:b w:val="0"/>
          <w:bCs w:val="0"/>
          <w:color w:val="000000"/>
          <w:spacing w:val="-6"/>
          <w:kern w:val="0"/>
          <w:sz w:val="32"/>
          <w:szCs w:val="32"/>
          <w:highlight w:val="none"/>
          <w:vertAlign w:val="baseline"/>
          <w:lang w:val="en-US" w:eastAsia="zh-CN" w:bidi="ar"/>
        </w:rPr>
        <w:t>政府（区管委会、镇人民政府、街道办事处）作为</w:t>
      </w:r>
      <w:r>
        <w:rPr>
          <w:rFonts w:hint="eastAsia" w:ascii="仿宋_GB2312" w:hAnsi="仿宋" w:eastAsia="仿宋_GB2312" w:cs="仿宋_GB2312"/>
          <w:color w:val="000000"/>
          <w:spacing w:val="-6"/>
          <w:kern w:val="0"/>
          <w:sz w:val="32"/>
          <w:szCs w:val="32"/>
          <w:highlight w:val="none"/>
          <w:vertAlign w:val="baseline"/>
          <w:lang w:val="en-US" w:eastAsia="zh-CN" w:bidi="ar"/>
        </w:rPr>
        <w:t>申报主体。</w:t>
      </w:r>
    </w:p>
    <w:p w14:paraId="6D0F6D1B">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firstLine="616" w:firstLineChars="200"/>
        <w:jc w:val="both"/>
        <w:textAlignment w:val="baseline"/>
        <w:rPr>
          <w:rFonts w:hint="eastAsia" w:ascii="仿宋_GB2312" w:hAnsi="Arial" w:eastAsia="仿宋_GB2312" w:cs="仿宋_GB2312"/>
          <w:color w:val="000000"/>
          <w:spacing w:val="-6"/>
          <w:kern w:val="0"/>
          <w:sz w:val="32"/>
          <w:szCs w:val="32"/>
          <w:highlight w:val="none"/>
          <w:vertAlign w:val="baseline"/>
        </w:rPr>
      </w:pPr>
      <w:r>
        <w:rPr>
          <w:rFonts w:hint="eastAsia" w:ascii="楷体_GB2312" w:hAnsi="仿宋" w:eastAsia="楷体_GB2312" w:cs="楷体_GB2312"/>
          <w:b w:val="0"/>
          <w:bCs w:val="0"/>
          <w:color w:val="000000"/>
          <w:spacing w:val="-6"/>
          <w:kern w:val="0"/>
          <w:sz w:val="32"/>
          <w:szCs w:val="32"/>
          <w:highlight w:val="none"/>
          <w:vertAlign w:val="baseline"/>
          <w:lang w:val="en-US" w:eastAsia="zh-CN" w:bidi="ar"/>
        </w:rPr>
        <w:t xml:space="preserve">第六条 </w:t>
      </w:r>
      <w:r>
        <w:rPr>
          <w:rFonts w:hint="eastAsia" w:ascii="仿宋_GB2312" w:hAnsi="仿宋" w:eastAsia="仿宋_GB2312" w:cs="仿宋_GB2312"/>
          <w:color w:val="000000"/>
          <w:spacing w:val="-6"/>
          <w:kern w:val="0"/>
          <w:sz w:val="32"/>
          <w:szCs w:val="32"/>
          <w:highlight w:val="none"/>
          <w:vertAlign w:val="baseline"/>
          <w:lang w:val="en-US" w:eastAsia="zh-CN" w:bidi="ar"/>
        </w:rPr>
        <w:t>运营主体</w:t>
      </w:r>
    </w:p>
    <w:p w14:paraId="2CAB17A5">
      <w:pPr>
        <w:keepNext w:val="0"/>
        <w:keepLines w:val="0"/>
        <w:widowControl w:val="0"/>
        <w:suppressLineNumbers w:val="0"/>
        <w:kinsoku w:val="0"/>
        <w:autoSpaceDE w:val="0"/>
        <w:autoSpaceDN w:val="0"/>
        <w:adjustRightInd w:val="0"/>
        <w:snapToGrid w:val="0"/>
        <w:spacing w:before="0" w:beforeAutospacing="0" w:after="0" w:afterAutospacing="0" w:line="574" w:lineRule="exact"/>
        <w:ind w:left="0" w:leftChars="0" w:right="0" w:rightChars="0" w:firstLine="616" w:firstLineChars="200"/>
        <w:jc w:val="both"/>
        <w:textAlignment w:val="baseline"/>
        <w:outlineLvl w:val="0"/>
        <w:rPr>
          <w:rFonts w:hint="eastAsia" w:ascii="仿宋_GB2312" w:hAnsi="Arial" w:eastAsia="仿宋_GB2312" w:cs="仿宋_GB2312"/>
          <w:spacing w:val="-6"/>
          <w:kern w:val="0"/>
          <w:sz w:val="32"/>
          <w:szCs w:val="32"/>
          <w:highlight w:val="none"/>
          <w:vertAlign w:val="baseline"/>
        </w:rPr>
      </w:pPr>
      <w:r>
        <w:rPr>
          <w:rFonts w:hint="eastAsia" w:ascii="仿宋_GB2312" w:hAnsi="Arial" w:eastAsia="仿宋_GB2312" w:cs="仿宋_GB2312"/>
          <w:snapToGrid w:val="0"/>
          <w:color w:val="000000"/>
          <w:spacing w:val="-6"/>
          <w:kern w:val="0"/>
          <w:sz w:val="32"/>
          <w:szCs w:val="32"/>
          <w:highlight w:val="none"/>
          <w:vertAlign w:val="baseline"/>
          <w:lang w:val="en-US" w:eastAsia="zh-CN" w:bidi="ar"/>
        </w:rPr>
        <w:t>（一）建设主体可以同时作为运营主体，负责“香山书房”的运营管理。</w:t>
      </w:r>
    </w:p>
    <w:p w14:paraId="087968D6">
      <w:pPr>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rightChars="0" w:firstLine="616" w:firstLineChars="200"/>
        <w:jc w:val="both"/>
        <w:textAlignment w:val="baseline"/>
        <w:outlineLvl w:val="0"/>
        <w:rPr>
          <w:rFonts w:hint="eastAsia" w:ascii="仿宋_GB2312" w:hAnsi="Arial" w:eastAsia="仿宋_GB2312" w:cs="仿宋_GB2312"/>
          <w:spacing w:val="-6"/>
          <w:kern w:val="0"/>
          <w:sz w:val="32"/>
          <w:szCs w:val="32"/>
          <w:highlight w:val="none"/>
          <w:vertAlign w:val="baseline"/>
        </w:rPr>
      </w:pPr>
      <w:r>
        <w:rPr>
          <w:rFonts w:hint="eastAsia" w:ascii="仿宋_GB2312" w:hAnsi="Arial" w:eastAsia="仿宋_GB2312" w:cs="仿宋_GB2312"/>
          <w:snapToGrid w:val="0"/>
          <w:color w:val="000000"/>
          <w:spacing w:val="-6"/>
          <w:kern w:val="0"/>
          <w:sz w:val="32"/>
          <w:szCs w:val="32"/>
          <w:highlight w:val="none"/>
          <w:vertAlign w:val="baseline"/>
          <w:lang w:val="en-US" w:eastAsia="zh-CN" w:bidi="ar"/>
        </w:rPr>
        <w:t>（二）建设主体可以委托专业机构作为运营主体，负责“香山书房”的运营管理，并签订协议明确权责、收益分配、安全管理等事项。</w:t>
      </w:r>
    </w:p>
    <w:p w14:paraId="55982F0B">
      <w:pPr>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rightChars="0"/>
        <w:jc w:val="both"/>
        <w:textAlignment w:val="baseline"/>
        <w:outlineLvl w:val="0"/>
        <w:rPr>
          <w:rFonts w:hint="eastAsia" w:ascii="仿宋_GB2312" w:hAnsi="Arial" w:eastAsia="仿宋_GB2312" w:cs="仿宋_GB2312"/>
          <w:spacing w:val="-6"/>
          <w:kern w:val="0"/>
          <w:sz w:val="32"/>
          <w:szCs w:val="32"/>
          <w:highlight w:val="none"/>
          <w:vertAlign w:val="baseline"/>
        </w:rPr>
      </w:pPr>
      <w:r>
        <w:rPr>
          <w:rFonts w:hint="eastAsia" w:ascii="仿宋_GB2312" w:hAnsi="Arial" w:eastAsia="仿宋_GB2312" w:cs="仿宋_GB2312"/>
          <w:snapToGrid w:val="0"/>
          <w:color w:val="000000"/>
          <w:spacing w:val="-6"/>
          <w:kern w:val="0"/>
          <w:sz w:val="32"/>
          <w:szCs w:val="32"/>
          <w:highlight w:val="none"/>
          <w:vertAlign w:val="baseline"/>
          <w:lang w:val="en-US" w:eastAsia="zh-CN" w:bidi="ar"/>
        </w:rPr>
        <w:t xml:space="preserve"> </w:t>
      </w:r>
    </w:p>
    <w:p w14:paraId="05E299CF">
      <w:pPr>
        <w:keepNext w:val="0"/>
        <w:keepLines w:val="0"/>
        <w:widowControl w:val="0"/>
        <w:suppressLineNumbers w:val="0"/>
        <w:kinsoku w:val="0"/>
        <w:autoSpaceDE w:val="0"/>
        <w:autoSpaceDN w:val="0"/>
        <w:adjustRightInd w:val="0"/>
        <w:snapToGrid w:val="0"/>
        <w:spacing w:before="0" w:beforeAutospacing="0" w:after="0" w:afterAutospacing="0" w:line="574" w:lineRule="exact"/>
        <w:ind w:left="3288" w:right="0" w:firstLine="0" w:firstLineChars="0"/>
        <w:jc w:val="both"/>
        <w:textAlignment w:val="baseline"/>
        <w:outlineLvl w:val="0"/>
        <w:rPr>
          <w:rFonts w:hint="default" w:ascii="Arial" w:hAnsi="Arial" w:eastAsia="宋体" w:cs="Arial"/>
          <w:kern w:val="0"/>
          <w:sz w:val="21"/>
          <w:szCs w:val="21"/>
          <w:highlight w:val="none"/>
          <w:vertAlign w:val="baseline"/>
        </w:rPr>
      </w:pPr>
      <w:r>
        <w:rPr>
          <w:rFonts w:hint="eastAsia" w:ascii="黑体" w:hAnsi="宋体" w:eastAsia="黑体" w:cs="黑体"/>
          <w:b w:val="0"/>
          <w:bCs w:val="0"/>
          <w:snapToGrid w:val="0"/>
          <w:color w:val="000000"/>
          <w:spacing w:val="-6"/>
          <w:kern w:val="0"/>
          <w:sz w:val="32"/>
          <w:szCs w:val="32"/>
          <w:highlight w:val="none"/>
          <w:vertAlign w:val="baseline"/>
          <w:lang w:val="en-US" w:eastAsia="zh-CN" w:bidi="ar"/>
        </w:rPr>
        <w:t>第三章 建设要求</w:t>
      </w:r>
    </w:p>
    <w:p w14:paraId="7F6EE674">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firstLine="616" w:firstLineChars="200"/>
        <w:jc w:val="both"/>
        <w:textAlignment w:val="baseline"/>
        <w:rPr>
          <w:rFonts w:hint="eastAsia" w:ascii="仿宋_GB2312" w:hAnsi="Arial" w:eastAsia="仿宋_GB2312" w:cs="仿宋_GB2312"/>
          <w:color w:val="000000"/>
          <w:spacing w:val="-6"/>
          <w:kern w:val="0"/>
          <w:sz w:val="32"/>
          <w:szCs w:val="32"/>
          <w:highlight w:val="none"/>
          <w:vertAlign w:val="baseline"/>
        </w:rPr>
      </w:pPr>
      <w:r>
        <w:rPr>
          <w:rFonts w:hint="eastAsia" w:ascii="楷体_GB2312" w:hAnsi="仿宋" w:eastAsia="楷体_GB2312" w:cs="楷体_GB2312"/>
          <w:b w:val="0"/>
          <w:bCs w:val="0"/>
          <w:color w:val="000000"/>
          <w:spacing w:val="-6"/>
          <w:kern w:val="0"/>
          <w:sz w:val="32"/>
          <w:szCs w:val="32"/>
          <w:highlight w:val="none"/>
          <w:vertAlign w:val="baseline"/>
          <w:lang w:val="en-US" w:eastAsia="zh-CN" w:bidi="ar"/>
        </w:rPr>
        <w:t>第七条</w:t>
      </w:r>
      <w:r>
        <w:rPr>
          <w:rFonts w:hint="eastAsia" w:ascii="仿宋_GB2312" w:hAnsi="仿宋" w:eastAsia="仿宋_GB2312" w:cs="仿宋_GB2312"/>
          <w:color w:val="000000"/>
          <w:spacing w:val="-6"/>
          <w:kern w:val="0"/>
          <w:sz w:val="32"/>
          <w:szCs w:val="32"/>
          <w:highlight w:val="none"/>
          <w:vertAlign w:val="baseline"/>
          <w:lang w:val="en-US" w:eastAsia="zh-CN" w:bidi="ar"/>
        </w:rPr>
        <w:t xml:space="preserve"> 选址要求</w:t>
      </w:r>
    </w:p>
    <w:p w14:paraId="38302CBE">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firstLine="616" w:firstLineChars="200"/>
        <w:jc w:val="both"/>
        <w:textAlignment w:val="baseline"/>
        <w:rPr>
          <w:rFonts w:hint="eastAsia" w:ascii="仿宋_GB2312" w:hAnsi="Arial" w:eastAsia="仿宋_GB2312" w:cs="仿宋_GB2312"/>
          <w:color w:val="000000"/>
          <w:spacing w:val="-6"/>
          <w:kern w:val="0"/>
          <w:sz w:val="32"/>
          <w:szCs w:val="32"/>
          <w:highlight w:val="none"/>
          <w:vertAlign w:val="baseline"/>
        </w:rPr>
      </w:pPr>
      <w:r>
        <w:rPr>
          <w:rFonts w:hint="eastAsia" w:ascii="仿宋_GB2312" w:hAnsi="仿宋" w:eastAsia="仿宋_GB2312" w:cs="仿宋_GB2312"/>
          <w:color w:val="000000"/>
          <w:spacing w:val="-6"/>
          <w:kern w:val="0"/>
          <w:sz w:val="32"/>
          <w:szCs w:val="32"/>
          <w:highlight w:val="none"/>
          <w:vertAlign w:val="baseline"/>
          <w:lang w:val="en-US" w:eastAsia="zh-CN" w:bidi="ar"/>
        </w:rPr>
        <w:t>（一）优先</w:t>
      </w:r>
      <w:r>
        <w:rPr>
          <w:rFonts w:hint="eastAsia" w:ascii="仿宋_GB2312" w:hAnsi="Arial" w:eastAsia="仿宋_GB2312" w:cs="仿宋_GB2312"/>
          <w:color w:val="000000"/>
          <w:spacing w:val="-6"/>
          <w:kern w:val="0"/>
          <w:sz w:val="32"/>
          <w:szCs w:val="32"/>
          <w:highlight w:val="none"/>
          <w:vertAlign w:val="baseline"/>
          <w:lang w:val="en-US" w:eastAsia="zh-CN" w:bidi="ar"/>
        </w:rPr>
        <w:t>选择</w:t>
      </w:r>
      <w:r>
        <w:rPr>
          <w:rFonts w:hint="eastAsia" w:ascii="仿宋_GB2312" w:hAnsi="仿宋" w:eastAsia="仿宋_GB2312" w:cs="仿宋_GB2312"/>
          <w:color w:val="000000"/>
          <w:spacing w:val="-6"/>
          <w:kern w:val="0"/>
          <w:sz w:val="32"/>
          <w:szCs w:val="32"/>
          <w:highlight w:val="none"/>
          <w:vertAlign w:val="baseline"/>
          <w:lang w:val="en-US" w:eastAsia="zh-CN" w:bidi="ar"/>
        </w:rPr>
        <w:t>人口集聚、交通便利、配套设施完善的区域布局建设“香山书房”，并与城市更新、文旅融合、乡村振兴、产业园区建设等重点工作协同推进。</w:t>
      </w:r>
    </w:p>
    <w:p w14:paraId="03ECB3BE">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firstLine="616" w:firstLineChars="200"/>
        <w:jc w:val="both"/>
        <w:textAlignment w:val="baseline"/>
        <w:rPr>
          <w:rFonts w:hint="default" w:ascii="Times New Roman" w:hAnsi="Times New Roman" w:eastAsia="仿宋_GB2312" w:cs="Times New Roman"/>
          <w:color w:val="000000"/>
          <w:spacing w:val="-6"/>
          <w:kern w:val="0"/>
          <w:sz w:val="32"/>
          <w:szCs w:val="32"/>
          <w:highlight w:val="none"/>
          <w:vertAlign w:val="baseline"/>
        </w:rPr>
      </w:pPr>
      <w:r>
        <w:rPr>
          <w:rFonts w:hint="eastAsia" w:ascii="仿宋_GB2312" w:hAnsi="仿宋" w:eastAsia="仿宋_GB2312" w:cs="仿宋_GB2312"/>
          <w:color w:val="000000"/>
          <w:spacing w:val="-6"/>
          <w:kern w:val="0"/>
          <w:sz w:val="32"/>
          <w:szCs w:val="32"/>
          <w:highlight w:val="none"/>
          <w:vertAlign w:val="baseline"/>
          <w:lang w:val="en-US" w:eastAsia="zh-CN" w:bidi="ar"/>
        </w:rPr>
        <w:t>（二）</w:t>
      </w:r>
      <w:r>
        <w:rPr>
          <w:rFonts w:hint="eastAsia" w:ascii="仿宋_GB2312" w:hAnsi="Arial" w:eastAsia="仿宋_GB2312" w:cs="仿宋_GB2312"/>
          <w:color w:val="000000"/>
          <w:spacing w:val="-6"/>
          <w:kern w:val="0"/>
          <w:sz w:val="32"/>
          <w:szCs w:val="32"/>
          <w:highlight w:val="none"/>
          <w:vertAlign w:val="baseline"/>
          <w:lang w:val="en-US" w:eastAsia="zh-CN" w:bidi="ar"/>
        </w:rPr>
        <w:t>原则上</w:t>
      </w:r>
      <w:r>
        <w:rPr>
          <w:rFonts w:hint="eastAsia" w:ascii="仿宋_GB2312" w:hAnsi="仿宋" w:eastAsia="仿宋_GB2312" w:cs="仿宋_GB2312"/>
          <w:color w:val="000000"/>
          <w:spacing w:val="-6"/>
          <w:kern w:val="0"/>
          <w:sz w:val="32"/>
          <w:szCs w:val="32"/>
          <w:highlight w:val="none"/>
          <w:vertAlign w:val="baseline"/>
          <w:lang w:val="en-US" w:eastAsia="zh-CN" w:bidi="ar"/>
        </w:rPr>
        <w:t>按照服务半</w:t>
      </w:r>
      <w:r>
        <w:rPr>
          <w:rFonts w:hint="eastAsia" w:ascii="仿宋_GB2312" w:hAnsi="Times New Roman" w:eastAsia="仿宋_GB2312" w:cs="仿宋_GB2312"/>
          <w:color w:val="000000"/>
          <w:spacing w:val="-6"/>
          <w:kern w:val="0"/>
          <w:sz w:val="32"/>
          <w:szCs w:val="32"/>
          <w:highlight w:val="none"/>
          <w:vertAlign w:val="baseline"/>
          <w:lang w:val="en-US" w:eastAsia="zh-CN" w:bidi="ar"/>
        </w:rPr>
        <w:t>径</w:t>
      </w:r>
      <w:r>
        <w:rPr>
          <w:rFonts w:hint="default" w:ascii="Times New Roman" w:hAnsi="Times New Roman" w:eastAsia="仿宋_GB2312" w:cs="Times New Roman"/>
          <w:color w:val="000000"/>
          <w:spacing w:val="-6"/>
          <w:kern w:val="0"/>
          <w:sz w:val="32"/>
          <w:szCs w:val="32"/>
          <w:highlight w:val="none"/>
          <w:vertAlign w:val="baseline"/>
          <w:lang w:val="en-US" w:eastAsia="zh-CN" w:bidi="ar"/>
        </w:rPr>
        <w:t>1.5</w:t>
      </w:r>
      <w:r>
        <w:rPr>
          <w:rFonts w:hint="eastAsia" w:ascii="仿宋_GB2312" w:hAnsi="Times New Roman" w:eastAsia="仿宋_GB2312" w:cs="仿宋_GB2312"/>
          <w:color w:val="000000"/>
          <w:spacing w:val="-6"/>
          <w:kern w:val="0"/>
          <w:sz w:val="32"/>
          <w:szCs w:val="32"/>
          <w:highlight w:val="none"/>
          <w:vertAlign w:val="baseline"/>
          <w:lang w:val="en-US" w:eastAsia="zh-CN" w:bidi="ar"/>
        </w:rPr>
        <w:t>公里或服务人口</w:t>
      </w:r>
      <w:r>
        <w:rPr>
          <w:rFonts w:hint="default" w:ascii="Times New Roman" w:hAnsi="Times New Roman" w:eastAsia="仿宋_GB2312" w:cs="Times New Roman"/>
          <w:color w:val="000000"/>
          <w:spacing w:val="-6"/>
          <w:kern w:val="0"/>
          <w:sz w:val="32"/>
          <w:szCs w:val="32"/>
          <w:highlight w:val="none"/>
          <w:vertAlign w:val="baseline"/>
          <w:lang w:val="en-US" w:eastAsia="zh-CN" w:bidi="ar"/>
        </w:rPr>
        <w:t>5000</w:t>
      </w:r>
      <w:r>
        <w:rPr>
          <w:rFonts w:hint="eastAsia" w:ascii="仿宋_GB2312" w:hAnsi="Times New Roman" w:eastAsia="仿宋_GB2312" w:cs="仿宋_GB2312"/>
          <w:color w:val="000000"/>
          <w:spacing w:val="-6"/>
          <w:kern w:val="0"/>
          <w:sz w:val="32"/>
          <w:szCs w:val="32"/>
          <w:highlight w:val="none"/>
          <w:vertAlign w:val="baseline"/>
          <w:lang w:val="en-US" w:eastAsia="zh-CN" w:bidi="ar"/>
        </w:rPr>
        <w:t>人的标准合理布点，重点结合</w:t>
      </w:r>
      <w:r>
        <w:rPr>
          <w:rFonts w:hint="eastAsia" w:ascii="仿宋_GB2312" w:hAnsi="仿宋" w:eastAsia="仿宋_GB2312" w:cs="仿宋_GB2312"/>
          <w:color w:val="000000"/>
          <w:spacing w:val="-6"/>
          <w:kern w:val="0"/>
          <w:sz w:val="32"/>
          <w:szCs w:val="32"/>
          <w:highlight w:val="none"/>
          <w:vertAlign w:val="baseline"/>
          <w:lang w:val="en-US" w:eastAsia="zh-CN" w:bidi="ar"/>
        </w:rPr>
        <w:t>市政公园、市民广场、居民社区、大型商业中心、文旅场馆、交通枢纽等区域设置。</w:t>
      </w:r>
    </w:p>
    <w:p w14:paraId="274F65E5">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firstLine="616" w:firstLineChars="200"/>
        <w:jc w:val="both"/>
        <w:textAlignment w:val="baseline"/>
        <w:rPr>
          <w:rFonts w:hint="eastAsia" w:ascii="仿宋_GB2312" w:hAnsi="Arial" w:eastAsia="仿宋_GB2312" w:cs="仿宋_GB2312"/>
          <w:color w:val="000000"/>
          <w:spacing w:val="-6"/>
          <w:kern w:val="0"/>
          <w:sz w:val="32"/>
          <w:szCs w:val="32"/>
          <w:highlight w:val="none"/>
          <w:vertAlign w:val="baseline"/>
        </w:rPr>
      </w:pPr>
      <w:r>
        <w:rPr>
          <w:rFonts w:hint="eastAsia" w:ascii="仿宋_GB2312" w:hAnsi="仿宋" w:eastAsia="仿宋_GB2312" w:cs="仿宋_GB2312"/>
          <w:color w:val="000000"/>
          <w:spacing w:val="-6"/>
          <w:kern w:val="0"/>
          <w:sz w:val="32"/>
          <w:szCs w:val="32"/>
          <w:highlight w:val="none"/>
          <w:vertAlign w:val="baseline"/>
          <w:lang w:val="en-US" w:eastAsia="zh-CN" w:bidi="ar"/>
        </w:rPr>
        <w:t>（三）优先选用首层临街空间；确需设置在二层及以上楼层的，应当配备电梯，并确保具有独立出入口和功能分区，满足</w:t>
      </w:r>
      <w:r>
        <w:rPr>
          <w:rFonts w:hint="eastAsia" w:ascii="仿宋_GB2312" w:hAnsi="Times New Roman" w:eastAsia="仿宋_GB2312" w:cs="仿宋_GB2312"/>
          <w:color w:val="000000"/>
          <w:spacing w:val="-6"/>
          <w:kern w:val="0"/>
          <w:sz w:val="32"/>
          <w:szCs w:val="32"/>
          <w:highlight w:val="none"/>
          <w:vertAlign w:val="baseline"/>
          <w:lang w:val="en-US" w:eastAsia="zh-CN" w:bidi="ar"/>
        </w:rPr>
        <w:t>独立开放要求</w:t>
      </w:r>
      <w:r>
        <w:rPr>
          <w:rFonts w:hint="eastAsia" w:ascii="仿宋_GB2312" w:hAnsi="仿宋" w:eastAsia="仿宋_GB2312" w:cs="仿宋_GB2312"/>
          <w:color w:val="000000"/>
          <w:spacing w:val="-6"/>
          <w:kern w:val="0"/>
          <w:sz w:val="32"/>
          <w:szCs w:val="32"/>
          <w:highlight w:val="none"/>
          <w:vertAlign w:val="baseline"/>
          <w:lang w:val="en-US" w:eastAsia="zh-CN" w:bidi="ar"/>
        </w:rPr>
        <w:t>。</w:t>
      </w:r>
    </w:p>
    <w:p w14:paraId="7DA47FC4">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firstLine="616" w:firstLineChars="200"/>
        <w:jc w:val="both"/>
        <w:textAlignment w:val="baseline"/>
        <w:outlineLvl w:val="0"/>
        <w:rPr>
          <w:rFonts w:hint="eastAsia" w:ascii="仿宋" w:hAnsi="仿宋" w:eastAsia="仿宋" w:cs="仿宋"/>
          <w:color w:val="000000"/>
          <w:kern w:val="0"/>
          <w:sz w:val="32"/>
          <w:szCs w:val="32"/>
          <w:highlight w:val="none"/>
          <w:vertAlign w:val="baseline"/>
        </w:rPr>
      </w:pPr>
      <w:r>
        <w:rPr>
          <w:rFonts w:hint="eastAsia" w:ascii="仿宋_GB2312" w:hAnsi="仿宋" w:eastAsia="仿宋_GB2312" w:cs="仿宋_GB2312"/>
          <w:color w:val="000000"/>
          <w:spacing w:val="-6"/>
          <w:kern w:val="0"/>
          <w:sz w:val="32"/>
          <w:szCs w:val="32"/>
          <w:highlight w:val="none"/>
          <w:vertAlign w:val="baseline"/>
          <w:lang w:val="en-US" w:eastAsia="zh-CN" w:bidi="ar"/>
        </w:rPr>
        <w:t>（四）鼓励利用</w:t>
      </w:r>
      <w:r>
        <w:rPr>
          <w:rFonts w:hint="eastAsia" w:ascii="仿宋_GB2312" w:hAnsi="Arial" w:eastAsia="仿宋_GB2312" w:cs="仿宋_GB2312"/>
          <w:color w:val="000000"/>
          <w:spacing w:val="-6"/>
          <w:kern w:val="0"/>
          <w:sz w:val="32"/>
          <w:szCs w:val="32"/>
          <w:highlight w:val="none"/>
          <w:vertAlign w:val="baseline"/>
          <w:lang w:val="en-US" w:eastAsia="zh-CN" w:bidi="ar"/>
        </w:rPr>
        <w:t>老旧城区改造存量物业、乡村振兴修缮改造物业、机关企事业单位可供利用的</w:t>
      </w:r>
      <w:r>
        <w:rPr>
          <w:rFonts w:hint="eastAsia" w:ascii="仿宋_GB2312" w:hAnsi="仿宋" w:eastAsia="仿宋_GB2312" w:cs="仿宋_GB2312"/>
          <w:color w:val="000000"/>
          <w:spacing w:val="-6"/>
          <w:kern w:val="0"/>
          <w:sz w:val="32"/>
          <w:szCs w:val="32"/>
          <w:highlight w:val="none"/>
          <w:vertAlign w:val="baseline"/>
          <w:lang w:val="en-US" w:eastAsia="zh-CN" w:bidi="ar"/>
        </w:rPr>
        <w:t>物业、住宅小区配套公共建筑等空间资源，结合群众需求和公共服务设施规划进行建设。</w:t>
      </w:r>
    </w:p>
    <w:p w14:paraId="19018294">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firstLine="616" w:firstLineChars="200"/>
        <w:jc w:val="both"/>
        <w:textAlignment w:val="baseline"/>
        <w:rPr>
          <w:rFonts w:hint="eastAsia" w:ascii="仿宋_GB2312" w:hAnsi="Arial" w:eastAsia="仿宋_GB2312" w:cs="仿宋_GB2312"/>
          <w:color w:val="000000"/>
          <w:spacing w:val="-6"/>
          <w:kern w:val="0"/>
          <w:sz w:val="32"/>
          <w:szCs w:val="32"/>
          <w:highlight w:val="none"/>
          <w:vertAlign w:val="baseline"/>
        </w:rPr>
      </w:pPr>
      <w:r>
        <w:rPr>
          <w:rFonts w:hint="eastAsia" w:ascii="楷体_GB2312" w:hAnsi="仿宋" w:eastAsia="楷体_GB2312" w:cs="楷体_GB2312"/>
          <w:b w:val="0"/>
          <w:bCs w:val="0"/>
          <w:color w:val="000000"/>
          <w:spacing w:val="-6"/>
          <w:kern w:val="0"/>
          <w:sz w:val="32"/>
          <w:szCs w:val="32"/>
          <w:highlight w:val="none"/>
          <w:vertAlign w:val="baseline"/>
          <w:lang w:val="en-US" w:eastAsia="zh-CN" w:bidi="ar"/>
        </w:rPr>
        <w:t>第八条</w:t>
      </w:r>
      <w:r>
        <w:rPr>
          <w:rFonts w:hint="eastAsia" w:ascii="仿宋_GB2312" w:hAnsi="仿宋" w:eastAsia="仿宋_GB2312" w:cs="仿宋_GB2312"/>
          <w:color w:val="000000"/>
          <w:spacing w:val="-6"/>
          <w:kern w:val="0"/>
          <w:sz w:val="32"/>
          <w:szCs w:val="32"/>
          <w:highlight w:val="none"/>
          <w:vertAlign w:val="baseline"/>
          <w:lang w:val="en-US" w:eastAsia="zh-CN" w:bidi="ar"/>
        </w:rPr>
        <w:t xml:space="preserve"> 建筑要求</w:t>
      </w:r>
    </w:p>
    <w:p w14:paraId="00D93EDC">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firstLine="616" w:firstLineChars="200"/>
        <w:jc w:val="both"/>
        <w:textAlignment w:val="baseline"/>
        <w:rPr>
          <w:rFonts w:hint="eastAsia" w:ascii="仿宋_GB2312" w:hAnsi="Arial" w:eastAsia="仿宋_GB2312" w:cs="仿宋_GB2312"/>
          <w:color w:val="000000"/>
          <w:spacing w:val="-6"/>
          <w:kern w:val="0"/>
          <w:sz w:val="32"/>
          <w:szCs w:val="32"/>
          <w:highlight w:val="none"/>
          <w:vertAlign w:val="baseline"/>
        </w:rPr>
      </w:pPr>
      <w:r>
        <w:rPr>
          <w:rFonts w:hint="eastAsia" w:ascii="仿宋_GB2312" w:hAnsi="仿宋" w:eastAsia="仿宋_GB2312" w:cs="仿宋_GB2312"/>
          <w:color w:val="000000"/>
          <w:spacing w:val="-6"/>
          <w:kern w:val="0"/>
          <w:sz w:val="32"/>
          <w:szCs w:val="32"/>
          <w:highlight w:val="none"/>
          <w:vertAlign w:val="baseline"/>
          <w:lang w:val="en-US" w:eastAsia="zh-CN" w:bidi="ar"/>
        </w:rPr>
        <w:t>（一）应当符合《公共图书馆建设标准》（建标108-2008）及国家现行相关安全规范要求，满足建筑抗震、消防安全、节能环保、防雷减灾等技术标准，具备防火、防水、防潮、防虫、防盗等基本功能。</w:t>
      </w:r>
    </w:p>
    <w:p w14:paraId="7544A9A5">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firstLine="616" w:firstLineChars="200"/>
        <w:jc w:val="both"/>
        <w:textAlignment w:val="baseline"/>
        <w:rPr>
          <w:rFonts w:hint="eastAsia" w:ascii="Times New Roman" w:hAnsi="Times New Roman" w:eastAsia="仿宋_GB2312" w:cs="Times New Roman"/>
          <w:color w:val="000000"/>
          <w:spacing w:val="-6"/>
          <w:kern w:val="0"/>
          <w:sz w:val="32"/>
          <w:szCs w:val="32"/>
          <w:highlight w:val="none"/>
          <w:vertAlign w:val="baseline"/>
        </w:rPr>
      </w:pPr>
      <w:r>
        <w:rPr>
          <w:rFonts w:hint="eastAsia" w:ascii="仿宋_GB2312" w:hAnsi="仿宋" w:eastAsia="仿宋_GB2312" w:cs="仿宋_GB2312"/>
          <w:color w:val="000000"/>
          <w:spacing w:val="-6"/>
          <w:kern w:val="0"/>
          <w:sz w:val="32"/>
          <w:szCs w:val="32"/>
          <w:highlight w:val="none"/>
          <w:vertAlign w:val="baseline"/>
          <w:lang w:val="en-US" w:eastAsia="zh-CN" w:bidi="ar"/>
        </w:rPr>
        <w:t>（二）建筑面</w:t>
      </w:r>
      <w:r>
        <w:rPr>
          <w:rFonts w:hint="eastAsia" w:ascii="仿宋_GB2312" w:hAnsi="Times New Roman" w:eastAsia="仿宋_GB2312" w:cs="仿宋_GB2312"/>
          <w:color w:val="000000"/>
          <w:spacing w:val="-6"/>
          <w:kern w:val="0"/>
          <w:sz w:val="32"/>
          <w:szCs w:val="32"/>
          <w:highlight w:val="none"/>
          <w:vertAlign w:val="baseline"/>
          <w:lang w:val="en-US" w:eastAsia="zh-CN" w:bidi="ar"/>
        </w:rPr>
        <w:t>积原则上不低于</w:t>
      </w:r>
      <w:r>
        <w:rPr>
          <w:rFonts w:hint="default" w:ascii="Times New Roman" w:hAnsi="Times New Roman" w:eastAsia="仿宋_GB2312" w:cs="Times New Roman"/>
          <w:color w:val="000000"/>
          <w:spacing w:val="-6"/>
          <w:kern w:val="0"/>
          <w:sz w:val="32"/>
          <w:szCs w:val="32"/>
          <w:highlight w:val="none"/>
          <w:vertAlign w:val="baseline"/>
          <w:lang w:val="en-US" w:eastAsia="zh-CN" w:bidi="ar"/>
        </w:rPr>
        <w:t>150</w:t>
      </w:r>
      <w:r>
        <w:rPr>
          <w:rFonts w:hint="eastAsia" w:ascii="仿宋_GB2312" w:hAnsi="Times New Roman" w:eastAsia="仿宋_GB2312" w:cs="仿宋_GB2312"/>
          <w:color w:val="000000"/>
          <w:spacing w:val="-6"/>
          <w:kern w:val="0"/>
          <w:sz w:val="32"/>
          <w:szCs w:val="32"/>
          <w:highlight w:val="none"/>
          <w:vertAlign w:val="baseline"/>
          <w:lang w:val="en-US" w:eastAsia="zh-CN" w:bidi="ar"/>
        </w:rPr>
        <w:t>平方米。</w:t>
      </w:r>
    </w:p>
    <w:p w14:paraId="40EB241B">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firstLine="616" w:firstLineChars="200"/>
        <w:jc w:val="both"/>
        <w:textAlignment w:val="baseline"/>
        <w:rPr>
          <w:rFonts w:hint="default" w:ascii="Times New Roman" w:hAnsi="Times New Roman" w:eastAsia="仿宋_GB2312" w:cs="Times New Roman"/>
          <w:color w:val="000000"/>
          <w:spacing w:val="-6"/>
          <w:kern w:val="0"/>
          <w:sz w:val="32"/>
          <w:szCs w:val="32"/>
          <w:highlight w:val="none"/>
          <w:vertAlign w:val="baseline"/>
        </w:rPr>
      </w:pPr>
      <w:r>
        <w:rPr>
          <w:rFonts w:hint="eastAsia" w:ascii="仿宋_GB2312" w:hAnsi="Times New Roman" w:eastAsia="仿宋_GB2312" w:cs="仿宋_GB2312"/>
          <w:color w:val="000000"/>
          <w:spacing w:val="-6"/>
          <w:kern w:val="0"/>
          <w:sz w:val="32"/>
          <w:szCs w:val="32"/>
          <w:highlight w:val="none"/>
          <w:vertAlign w:val="baseline"/>
          <w:lang w:val="en-US" w:eastAsia="zh-CN" w:bidi="ar"/>
        </w:rPr>
        <w:t>（三）建筑产权清晰，且承诺连续服务期限不少于</w:t>
      </w:r>
      <w:r>
        <w:rPr>
          <w:rFonts w:hint="default" w:ascii="Times New Roman" w:hAnsi="Times New Roman" w:eastAsia="仿宋_GB2312" w:cs="Times New Roman"/>
          <w:color w:val="000000"/>
          <w:spacing w:val="-6"/>
          <w:kern w:val="0"/>
          <w:sz w:val="32"/>
          <w:szCs w:val="32"/>
          <w:highlight w:val="none"/>
          <w:vertAlign w:val="baseline"/>
          <w:lang w:val="en-US" w:eastAsia="zh-CN" w:bidi="ar"/>
        </w:rPr>
        <w:t>5</w:t>
      </w:r>
      <w:r>
        <w:rPr>
          <w:rFonts w:hint="eastAsia" w:ascii="仿宋_GB2312" w:hAnsi="Times New Roman" w:eastAsia="仿宋_GB2312" w:cs="仿宋_GB2312"/>
          <w:color w:val="000000"/>
          <w:spacing w:val="-6"/>
          <w:kern w:val="0"/>
          <w:sz w:val="32"/>
          <w:szCs w:val="32"/>
          <w:highlight w:val="none"/>
          <w:vertAlign w:val="baseline"/>
          <w:lang w:val="en-US" w:eastAsia="zh-CN" w:bidi="ar"/>
        </w:rPr>
        <w:t>年。</w:t>
      </w:r>
    </w:p>
    <w:p w14:paraId="5767A132">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firstLine="616" w:firstLineChars="200"/>
        <w:jc w:val="both"/>
        <w:textAlignment w:val="baseline"/>
        <w:rPr>
          <w:rFonts w:hint="eastAsia" w:ascii="仿宋_GB2312" w:hAnsi="Arial" w:eastAsia="仿宋_GB2312" w:cs="仿宋_GB2312"/>
          <w:color w:val="000000"/>
          <w:spacing w:val="-6"/>
          <w:kern w:val="0"/>
          <w:sz w:val="32"/>
          <w:szCs w:val="32"/>
          <w:highlight w:val="none"/>
          <w:vertAlign w:val="baseline"/>
        </w:rPr>
      </w:pPr>
      <w:r>
        <w:rPr>
          <w:rFonts w:hint="eastAsia" w:ascii="仿宋_GB2312" w:hAnsi="Times New Roman" w:eastAsia="仿宋_GB2312" w:cs="仿宋_GB2312"/>
          <w:color w:val="000000"/>
          <w:spacing w:val="-6"/>
          <w:kern w:val="0"/>
          <w:sz w:val="32"/>
          <w:szCs w:val="32"/>
          <w:highlight w:val="none"/>
          <w:vertAlign w:val="baseline"/>
          <w:lang w:val="en-US" w:eastAsia="zh-CN" w:bidi="ar"/>
        </w:rPr>
        <w:t>（四）应当</w:t>
      </w:r>
      <w:r>
        <w:rPr>
          <w:rFonts w:hint="eastAsia" w:ascii="仿宋_GB2312" w:hAnsi="仿宋" w:eastAsia="仿宋_GB2312" w:cs="仿宋_GB2312"/>
          <w:color w:val="000000"/>
          <w:spacing w:val="-6"/>
          <w:kern w:val="0"/>
          <w:sz w:val="32"/>
          <w:szCs w:val="32"/>
          <w:highlight w:val="none"/>
          <w:vertAlign w:val="baseline"/>
          <w:lang w:val="en-US" w:eastAsia="zh-CN" w:bidi="ar"/>
        </w:rPr>
        <w:t>设置阅读区（含电子阅读区）和活动区，鼓励设置少儿阅读区、展示区、便民服务区和母婴室等配套功能区。</w:t>
      </w:r>
    </w:p>
    <w:p w14:paraId="31019A96">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firstLine="616" w:firstLineChars="200"/>
        <w:jc w:val="both"/>
        <w:textAlignment w:val="baseline"/>
        <w:rPr>
          <w:rFonts w:hint="default" w:ascii="Times New Roman" w:hAnsi="Times New Roman" w:eastAsia="仿宋_GB2312" w:cs="Times New Roman"/>
          <w:color w:val="000000"/>
          <w:spacing w:val="-6"/>
          <w:kern w:val="0"/>
          <w:sz w:val="32"/>
          <w:szCs w:val="32"/>
          <w:highlight w:val="none"/>
          <w:vertAlign w:val="baseline"/>
        </w:rPr>
      </w:pPr>
      <w:r>
        <w:rPr>
          <w:rFonts w:hint="eastAsia" w:ascii="楷体_GB2312" w:hAnsi="仿宋" w:eastAsia="楷体_GB2312" w:cs="楷体_GB2312"/>
          <w:b w:val="0"/>
          <w:bCs w:val="0"/>
          <w:color w:val="000000"/>
          <w:spacing w:val="-6"/>
          <w:kern w:val="0"/>
          <w:sz w:val="32"/>
          <w:szCs w:val="32"/>
          <w:highlight w:val="none"/>
          <w:vertAlign w:val="baseline"/>
          <w:lang w:val="en-US" w:eastAsia="zh-CN" w:bidi="ar"/>
        </w:rPr>
        <w:t>第九条</w:t>
      </w:r>
      <w:r>
        <w:rPr>
          <w:rFonts w:hint="eastAsia" w:ascii="Times New Roman" w:hAnsi="Times New Roman" w:eastAsia="仿宋_GB2312" w:cs="Times New Roman"/>
          <w:color w:val="000000"/>
          <w:spacing w:val="-6"/>
          <w:kern w:val="0"/>
          <w:sz w:val="32"/>
          <w:szCs w:val="32"/>
          <w:highlight w:val="none"/>
          <w:vertAlign w:val="baseline"/>
          <w:lang w:val="en-US" w:eastAsia="zh-CN" w:bidi="ar"/>
        </w:rPr>
        <w:t xml:space="preserve"> </w:t>
      </w:r>
      <w:r>
        <w:rPr>
          <w:rFonts w:hint="eastAsia" w:ascii="仿宋_GB2312" w:hAnsi="Times New Roman" w:eastAsia="仿宋_GB2312" w:cs="仿宋_GB2312"/>
          <w:color w:val="000000"/>
          <w:spacing w:val="-6"/>
          <w:kern w:val="0"/>
          <w:sz w:val="32"/>
          <w:szCs w:val="32"/>
          <w:highlight w:val="none"/>
          <w:vertAlign w:val="baseline"/>
          <w:lang w:val="en-US" w:eastAsia="zh-CN" w:bidi="ar"/>
        </w:rPr>
        <w:t>环境营造要求</w:t>
      </w:r>
    </w:p>
    <w:p w14:paraId="3A23BE85">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firstLine="616" w:firstLineChars="200"/>
        <w:jc w:val="both"/>
        <w:textAlignment w:val="baseline"/>
        <w:rPr>
          <w:rFonts w:hint="eastAsia" w:ascii="Times New Roman" w:hAnsi="Times New Roman" w:eastAsia="仿宋_GB2312" w:cs="Times New Roman"/>
          <w:color w:val="000000"/>
          <w:spacing w:val="-6"/>
          <w:kern w:val="0"/>
          <w:sz w:val="32"/>
          <w:szCs w:val="32"/>
          <w:highlight w:val="none"/>
          <w:vertAlign w:val="baseline"/>
        </w:rPr>
      </w:pPr>
      <w:r>
        <w:rPr>
          <w:rFonts w:hint="eastAsia" w:ascii="仿宋_GB2312" w:hAnsi="Times New Roman" w:eastAsia="仿宋_GB2312" w:cs="仿宋_GB2312"/>
          <w:color w:val="000000"/>
          <w:spacing w:val="-6"/>
          <w:kern w:val="0"/>
          <w:sz w:val="32"/>
          <w:szCs w:val="32"/>
          <w:highlight w:val="none"/>
          <w:vertAlign w:val="baseline"/>
          <w:lang w:val="en-US" w:eastAsia="zh-CN" w:bidi="ar"/>
        </w:rPr>
        <w:t>（一）建筑设计应当彰显地方文化特色，融合现代设计理念，营造人文氛围，优先采用环保节能技术和材料。</w:t>
      </w:r>
    </w:p>
    <w:p w14:paraId="71329F92">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firstLine="616" w:firstLineChars="200"/>
        <w:jc w:val="both"/>
        <w:textAlignment w:val="baseline"/>
        <w:rPr>
          <w:rFonts w:hint="eastAsia" w:ascii="Times New Roman" w:hAnsi="Times New Roman" w:eastAsia="仿宋_GB2312" w:cs="Times New Roman"/>
          <w:color w:val="000000"/>
          <w:spacing w:val="-6"/>
          <w:kern w:val="0"/>
          <w:sz w:val="32"/>
          <w:szCs w:val="32"/>
          <w:highlight w:val="none"/>
          <w:vertAlign w:val="baseline"/>
        </w:rPr>
      </w:pPr>
      <w:r>
        <w:rPr>
          <w:rFonts w:hint="eastAsia" w:ascii="仿宋_GB2312" w:hAnsi="Times New Roman" w:eastAsia="仿宋_GB2312" w:cs="仿宋_GB2312"/>
          <w:color w:val="000000"/>
          <w:spacing w:val="-6"/>
          <w:kern w:val="0"/>
          <w:sz w:val="32"/>
          <w:szCs w:val="32"/>
          <w:highlight w:val="none"/>
          <w:vertAlign w:val="baseline"/>
          <w:lang w:val="en-US" w:eastAsia="zh-CN" w:bidi="ar"/>
        </w:rPr>
        <w:t>（二）空间布局实行“藏、借、阅”一体化，合理设置功能分区，实现动静分离。</w:t>
      </w:r>
    </w:p>
    <w:p w14:paraId="10F86A70">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firstLine="616" w:firstLineChars="200"/>
        <w:jc w:val="both"/>
        <w:textAlignment w:val="baseline"/>
        <w:rPr>
          <w:rFonts w:hint="eastAsia" w:ascii="Times New Roman" w:hAnsi="Times New Roman" w:eastAsia="仿宋_GB2312" w:cs="Times New Roman"/>
          <w:color w:val="000000"/>
          <w:spacing w:val="-6"/>
          <w:kern w:val="0"/>
          <w:sz w:val="32"/>
          <w:szCs w:val="32"/>
          <w:highlight w:val="none"/>
          <w:vertAlign w:val="baseline"/>
        </w:rPr>
      </w:pPr>
      <w:r>
        <w:rPr>
          <w:rFonts w:hint="eastAsia" w:ascii="仿宋_GB2312" w:hAnsi="Times New Roman" w:eastAsia="仿宋_GB2312" w:cs="仿宋_GB2312"/>
          <w:color w:val="000000"/>
          <w:spacing w:val="-6"/>
          <w:kern w:val="0"/>
          <w:sz w:val="32"/>
          <w:szCs w:val="32"/>
          <w:highlight w:val="none"/>
          <w:vertAlign w:val="baseline"/>
          <w:lang w:val="en-US" w:eastAsia="zh-CN" w:bidi="ar"/>
        </w:rPr>
        <w:t>（三）室内装修应当风格简约、色调雅致，使用环保安全型家具设备，地面进行防滑处理。</w:t>
      </w:r>
    </w:p>
    <w:p w14:paraId="227D14AB">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firstLine="616" w:firstLineChars="200"/>
        <w:jc w:val="both"/>
        <w:textAlignment w:val="baseline"/>
        <w:rPr>
          <w:rFonts w:hint="default" w:ascii="Times New Roman" w:hAnsi="Times New Roman" w:eastAsia="仿宋_GB2312" w:cs="Times New Roman"/>
          <w:color w:val="000000"/>
          <w:spacing w:val="-6"/>
          <w:kern w:val="0"/>
          <w:sz w:val="32"/>
          <w:szCs w:val="32"/>
          <w:highlight w:val="none"/>
          <w:vertAlign w:val="baseline"/>
        </w:rPr>
      </w:pPr>
      <w:r>
        <w:rPr>
          <w:rFonts w:hint="eastAsia" w:ascii="仿宋_GB2312" w:hAnsi="Times New Roman" w:eastAsia="仿宋_GB2312" w:cs="仿宋_GB2312"/>
          <w:color w:val="000000"/>
          <w:spacing w:val="-6"/>
          <w:kern w:val="0"/>
          <w:sz w:val="32"/>
          <w:szCs w:val="32"/>
          <w:highlight w:val="none"/>
          <w:vertAlign w:val="baseline"/>
          <w:lang w:val="en-US" w:eastAsia="zh-CN" w:bidi="ar"/>
        </w:rPr>
        <w:t>（四）采光应当优先利用自然光源，避免阳光直射藏书区域；人工照明应当确保阅览区域平均照度不低于</w:t>
      </w:r>
      <w:r>
        <w:rPr>
          <w:rFonts w:hint="default" w:ascii="Times New Roman" w:hAnsi="Times New Roman" w:eastAsia="仿宋_GB2312" w:cs="Times New Roman"/>
          <w:color w:val="000000"/>
          <w:spacing w:val="-6"/>
          <w:kern w:val="0"/>
          <w:sz w:val="32"/>
          <w:szCs w:val="32"/>
          <w:highlight w:val="none"/>
          <w:vertAlign w:val="baseline"/>
          <w:lang w:val="en-US" w:eastAsia="zh-CN" w:bidi="ar"/>
        </w:rPr>
        <w:t>200</w:t>
      </w:r>
      <w:r>
        <w:rPr>
          <w:rFonts w:hint="eastAsia" w:ascii="仿宋_GB2312" w:hAnsi="Times New Roman" w:eastAsia="仿宋_GB2312" w:cs="仿宋_GB2312"/>
          <w:color w:val="000000"/>
          <w:spacing w:val="-6"/>
          <w:kern w:val="0"/>
          <w:sz w:val="32"/>
          <w:szCs w:val="32"/>
          <w:highlight w:val="none"/>
          <w:vertAlign w:val="baseline"/>
          <w:lang w:val="en-US" w:eastAsia="zh-CN" w:bidi="ar"/>
        </w:rPr>
        <w:t>勒克斯（</w:t>
      </w:r>
      <w:r>
        <w:rPr>
          <w:rFonts w:hint="default" w:ascii="Times New Roman" w:hAnsi="Times New Roman" w:eastAsia="仿宋_GB2312" w:cs="Times New Roman"/>
          <w:color w:val="000000"/>
          <w:spacing w:val="-6"/>
          <w:kern w:val="0"/>
          <w:sz w:val="32"/>
          <w:szCs w:val="32"/>
          <w:highlight w:val="none"/>
          <w:vertAlign w:val="baseline"/>
          <w:lang w:val="en-US" w:eastAsia="zh-CN" w:bidi="ar"/>
        </w:rPr>
        <w:t>Lx</w:t>
      </w:r>
      <w:r>
        <w:rPr>
          <w:rFonts w:hint="eastAsia" w:ascii="仿宋_GB2312" w:hAnsi="Times New Roman" w:eastAsia="仿宋_GB2312" w:cs="仿宋_GB2312"/>
          <w:color w:val="000000"/>
          <w:spacing w:val="-6"/>
          <w:kern w:val="0"/>
          <w:sz w:val="32"/>
          <w:szCs w:val="32"/>
          <w:highlight w:val="none"/>
          <w:vertAlign w:val="baseline"/>
          <w:lang w:val="en-US" w:eastAsia="zh-CN" w:bidi="ar"/>
        </w:rPr>
        <w:t>）。</w:t>
      </w:r>
    </w:p>
    <w:p w14:paraId="44BD4E21">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firstLine="616" w:firstLineChars="200"/>
        <w:jc w:val="both"/>
        <w:textAlignment w:val="baseline"/>
        <w:rPr>
          <w:rFonts w:hint="eastAsia" w:ascii="Times New Roman" w:hAnsi="Times New Roman" w:eastAsia="仿宋_GB2312" w:cs="Times New Roman"/>
          <w:color w:val="000000"/>
          <w:spacing w:val="-6"/>
          <w:kern w:val="0"/>
          <w:sz w:val="32"/>
          <w:szCs w:val="32"/>
          <w:highlight w:val="none"/>
          <w:vertAlign w:val="baseline"/>
        </w:rPr>
      </w:pPr>
      <w:r>
        <w:rPr>
          <w:rFonts w:hint="eastAsia" w:ascii="仿宋_GB2312" w:hAnsi="Times New Roman" w:eastAsia="仿宋_GB2312" w:cs="仿宋_GB2312"/>
          <w:color w:val="000000"/>
          <w:spacing w:val="-6"/>
          <w:kern w:val="0"/>
          <w:sz w:val="32"/>
          <w:szCs w:val="32"/>
          <w:highlight w:val="none"/>
          <w:vertAlign w:val="baseline"/>
          <w:lang w:val="en-US" w:eastAsia="zh-CN" w:bidi="ar"/>
        </w:rPr>
        <w:t>（五）场馆名称、室内外标识标牌等应当执行中山纪念图书馆制定的标准规范，未经批准不得擅自变更。</w:t>
      </w:r>
    </w:p>
    <w:p w14:paraId="6DF996E2">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firstLine="616" w:firstLineChars="200"/>
        <w:jc w:val="both"/>
        <w:textAlignment w:val="baseline"/>
        <w:rPr>
          <w:rFonts w:hint="default" w:ascii="Times New Roman" w:hAnsi="Times New Roman" w:eastAsia="仿宋_GB2312" w:cs="Times New Roman"/>
          <w:color w:val="000000"/>
          <w:spacing w:val="-6"/>
          <w:kern w:val="0"/>
          <w:sz w:val="32"/>
          <w:szCs w:val="32"/>
          <w:highlight w:val="none"/>
          <w:vertAlign w:val="baseline"/>
        </w:rPr>
      </w:pPr>
      <w:r>
        <w:rPr>
          <w:rFonts w:hint="eastAsia" w:ascii="楷体_GB2312" w:hAnsi="仿宋" w:eastAsia="楷体_GB2312" w:cs="楷体_GB2312"/>
          <w:color w:val="000000"/>
          <w:spacing w:val="-6"/>
          <w:kern w:val="0"/>
          <w:sz w:val="32"/>
          <w:szCs w:val="32"/>
          <w:highlight w:val="none"/>
          <w:vertAlign w:val="baseline"/>
          <w:lang w:val="en-US" w:eastAsia="zh-CN" w:bidi="ar"/>
        </w:rPr>
        <w:t>第十条</w:t>
      </w:r>
      <w:r>
        <w:rPr>
          <w:rFonts w:hint="eastAsia" w:ascii="Times New Roman" w:hAnsi="Times New Roman" w:eastAsia="仿宋_GB2312" w:cs="Times New Roman"/>
          <w:color w:val="000000"/>
          <w:spacing w:val="-6"/>
          <w:kern w:val="0"/>
          <w:sz w:val="32"/>
          <w:szCs w:val="32"/>
          <w:highlight w:val="none"/>
          <w:vertAlign w:val="baseline"/>
          <w:lang w:val="en-US" w:eastAsia="zh-CN" w:bidi="ar"/>
        </w:rPr>
        <w:t xml:space="preserve"> </w:t>
      </w:r>
      <w:r>
        <w:rPr>
          <w:rFonts w:hint="eastAsia" w:ascii="仿宋_GB2312" w:hAnsi="Times New Roman" w:eastAsia="仿宋_GB2312" w:cs="仿宋_GB2312"/>
          <w:color w:val="000000"/>
          <w:spacing w:val="-6"/>
          <w:kern w:val="0"/>
          <w:sz w:val="32"/>
          <w:szCs w:val="32"/>
          <w:highlight w:val="none"/>
          <w:vertAlign w:val="baseline"/>
          <w:lang w:val="en-US" w:eastAsia="zh-CN" w:bidi="ar"/>
        </w:rPr>
        <w:t>设备配置要求</w:t>
      </w:r>
    </w:p>
    <w:p w14:paraId="13C0B1F1">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leftChars="0" w:right="0" w:rightChars="0" w:firstLine="616" w:firstLineChars="200"/>
        <w:jc w:val="both"/>
        <w:textAlignment w:val="baseline"/>
        <w:rPr>
          <w:rFonts w:hint="eastAsia" w:ascii="仿宋_GB2312" w:hAnsi="Arial" w:eastAsia="仿宋_GB2312" w:cs="仿宋_GB2312"/>
          <w:color w:val="000000"/>
          <w:spacing w:val="-6"/>
          <w:kern w:val="0"/>
          <w:sz w:val="32"/>
          <w:szCs w:val="32"/>
          <w:highlight w:val="none"/>
          <w:vertAlign w:val="baseline"/>
        </w:rPr>
      </w:pPr>
      <w:r>
        <w:rPr>
          <w:rFonts w:hint="eastAsia" w:ascii="仿宋_GB2312" w:hAnsi="Arial" w:eastAsia="仿宋_GB2312" w:cs="仿宋_GB2312"/>
          <w:color w:val="000000"/>
          <w:spacing w:val="-6"/>
          <w:kern w:val="0"/>
          <w:sz w:val="32"/>
          <w:szCs w:val="32"/>
          <w:highlight w:val="none"/>
          <w:vertAlign w:val="baseline"/>
          <w:lang w:val="en-US" w:eastAsia="zh-CN" w:bidi="ar"/>
        </w:rPr>
        <w:t>（一）应当独立配置水电、空调及网络通讯系统，实现无线网络全覆盖，不受其他场馆限制和影响；电器设备应当具备定时开关和集中控制功能。</w:t>
      </w:r>
    </w:p>
    <w:p w14:paraId="228D6831">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leftChars="0" w:right="0" w:rightChars="0" w:firstLine="616" w:firstLineChars="200"/>
        <w:jc w:val="both"/>
        <w:textAlignment w:val="baseline"/>
        <w:rPr>
          <w:rFonts w:hint="eastAsia" w:ascii="仿宋_GB2312" w:hAnsi="Arial" w:eastAsia="仿宋_GB2312" w:cs="仿宋_GB2312"/>
          <w:color w:val="000000"/>
          <w:spacing w:val="-6"/>
          <w:kern w:val="0"/>
          <w:sz w:val="32"/>
          <w:szCs w:val="32"/>
          <w:highlight w:val="none"/>
          <w:vertAlign w:val="baseline"/>
        </w:rPr>
      </w:pPr>
      <w:r>
        <w:rPr>
          <w:rFonts w:hint="eastAsia" w:ascii="仿宋_GB2312" w:hAnsi="Arial" w:eastAsia="仿宋_GB2312" w:cs="仿宋_GB2312"/>
          <w:color w:val="000000"/>
          <w:spacing w:val="-6"/>
          <w:kern w:val="0"/>
          <w:sz w:val="32"/>
          <w:szCs w:val="32"/>
          <w:highlight w:val="none"/>
          <w:vertAlign w:val="baseline"/>
          <w:lang w:val="en-US" w:eastAsia="zh-CN" w:bidi="ar"/>
        </w:rPr>
        <w:t>（二）图书文献资源由中山纪念图书馆联合属地镇街图书馆统一配置。</w:t>
      </w:r>
    </w:p>
    <w:p w14:paraId="13F20B12">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rightChars="0" w:firstLine="616" w:firstLineChars="200"/>
        <w:jc w:val="both"/>
        <w:textAlignment w:val="baseline"/>
        <w:rPr>
          <w:rFonts w:hint="eastAsia" w:ascii="仿宋_GB2312" w:hAnsi="Arial" w:eastAsia="仿宋_GB2312" w:cs="仿宋_GB2312"/>
          <w:color w:val="000000"/>
          <w:spacing w:val="-6"/>
          <w:kern w:val="0"/>
          <w:sz w:val="32"/>
          <w:szCs w:val="32"/>
          <w:highlight w:val="none"/>
          <w:vertAlign w:val="baseline"/>
        </w:rPr>
      </w:pPr>
      <w:r>
        <w:rPr>
          <w:rFonts w:hint="eastAsia" w:ascii="仿宋_GB2312" w:hAnsi="Arial" w:eastAsia="仿宋_GB2312" w:cs="仿宋_GB2312"/>
          <w:color w:val="000000"/>
          <w:spacing w:val="-6"/>
          <w:kern w:val="0"/>
          <w:sz w:val="32"/>
          <w:szCs w:val="32"/>
          <w:highlight w:val="none"/>
          <w:vertAlign w:val="baseline"/>
          <w:lang w:val="en-US" w:eastAsia="zh-CN" w:bidi="ar"/>
        </w:rPr>
        <w:t>（三）阅览席位总数不少于30个，满足成人和少儿阅读需求。</w:t>
      </w:r>
    </w:p>
    <w:p w14:paraId="36CB4CC6">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rightChars="0" w:firstLine="616" w:firstLineChars="200"/>
        <w:jc w:val="both"/>
        <w:textAlignment w:val="baseline"/>
        <w:rPr>
          <w:rFonts w:hint="eastAsia" w:ascii="仿宋_GB2312" w:hAnsi="Arial" w:eastAsia="仿宋_GB2312" w:cs="仿宋_GB2312"/>
          <w:color w:val="000000"/>
          <w:spacing w:val="-6"/>
          <w:kern w:val="0"/>
          <w:sz w:val="32"/>
          <w:szCs w:val="32"/>
          <w:highlight w:val="none"/>
          <w:vertAlign w:val="baseline"/>
        </w:rPr>
      </w:pPr>
      <w:r>
        <w:rPr>
          <w:rFonts w:hint="eastAsia" w:ascii="仿宋_GB2312" w:hAnsi="Arial" w:eastAsia="仿宋_GB2312" w:cs="仿宋_GB2312"/>
          <w:color w:val="000000"/>
          <w:spacing w:val="-6"/>
          <w:kern w:val="0"/>
          <w:sz w:val="32"/>
          <w:szCs w:val="32"/>
          <w:highlight w:val="none"/>
          <w:vertAlign w:val="baseline"/>
          <w:lang w:val="en-US" w:eastAsia="zh-CN" w:bidi="ar"/>
        </w:rPr>
        <w:t>（四）配置坚固耐用的专用书架，藏书容量不少于5000册，并配备书立等必要辅助器具；鼓励配置期刊架、报纸架等配套设备。</w:t>
      </w:r>
    </w:p>
    <w:p w14:paraId="27FB9AE9">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rightChars="0" w:firstLine="616" w:firstLineChars="200"/>
        <w:jc w:val="both"/>
        <w:textAlignment w:val="baseline"/>
        <w:rPr>
          <w:rFonts w:hint="eastAsia" w:ascii="仿宋_GB2312" w:hAnsi="Arial" w:eastAsia="仿宋_GB2312" w:cs="仿宋_GB2312"/>
          <w:color w:val="000000"/>
          <w:spacing w:val="-6"/>
          <w:kern w:val="0"/>
          <w:sz w:val="32"/>
          <w:szCs w:val="32"/>
          <w:highlight w:val="none"/>
          <w:vertAlign w:val="baseline"/>
        </w:rPr>
      </w:pPr>
      <w:r>
        <w:rPr>
          <w:rFonts w:hint="eastAsia" w:ascii="仿宋_GB2312" w:hAnsi="Arial" w:eastAsia="仿宋_GB2312" w:cs="仿宋_GB2312"/>
          <w:color w:val="000000"/>
          <w:spacing w:val="-6"/>
          <w:kern w:val="0"/>
          <w:sz w:val="32"/>
          <w:szCs w:val="32"/>
          <w:highlight w:val="none"/>
          <w:vertAlign w:val="baseline"/>
          <w:lang w:val="en-US" w:eastAsia="zh-CN" w:bidi="ar"/>
        </w:rPr>
        <w:t>（五）智能化设施设备由中山纪念图书馆</w:t>
      </w:r>
      <w:r>
        <w:rPr>
          <w:rFonts w:hint="eastAsia" w:ascii="仿宋_GB2312" w:eastAsia="仿宋_GB2312" w:cs="仿宋_GB2312"/>
          <w:color w:val="000000"/>
          <w:spacing w:val="-6"/>
          <w:kern w:val="0"/>
          <w:sz w:val="32"/>
          <w:szCs w:val="32"/>
          <w:highlight w:val="none"/>
          <w:vertAlign w:val="baseline"/>
          <w:lang w:val="en-US" w:eastAsia="zh" w:bidi="ar"/>
          <w:woUserID w:val="1"/>
        </w:rPr>
        <w:t>协同</w:t>
      </w:r>
      <w:r>
        <w:rPr>
          <w:rFonts w:hint="eastAsia" w:ascii="仿宋_GB2312" w:hAnsi="Arial" w:eastAsia="仿宋_GB2312" w:cs="仿宋_GB2312"/>
          <w:color w:val="000000"/>
          <w:spacing w:val="-6"/>
          <w:kern w:val="0"/>
          <w:sz w:val="32"/>
          <w:szCs w:val="32"/>
          <w:highlight w:val="none"/>
          <w:vertAlign w:val="baseline"/>
          <w:lang w:val="en-US" w:eastAsia="zh-CN" w:bidi="ar"/>
        </w:rPr>
        <w:t>各镇街宣传文化部门统筹配置，不足部分由建设主体补充配置，包括但不限于：自助办证借还一体机、RFID防盗门禁、电子阅读机、图书杀菌机、人脸识别门禁系统、客流统计系统、展示系统、图书馆集成管理系统等。</w:t>
      </w:r>
    </w:p>
    <w:p w14:paraId="7D646DCA">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rightChars="0" w:firstLine="616" w:firstLineChars="200"/>
        <w:jc w:val="both"/>
        <w:textAlignment w:val="baseline"/>
        <w:rPr>
          <w:rFonts w:hint="eastAsia" w:ascii="仿宋_GB2312" w:hAnsi="Arial" w:eastAsia="仿宋_GB2312" w:cs="仿宋_GB2312"/>
          <w:color w:val="000000"/>
          <w:spacing w:val="-6"/>
          <w:kern w:val="0"/>
          <w:sz w:val="32"/>
          <w:szCs w:val="32"/>
          <w:highlight w:val="none"/>
          <w:vertAlign w:val="baseline"/>
        </w:rPr>
      </w:pPr>
      <w:r>
        <w:rPr>
          <w:rFonts w:hint="eastAsia" w:ascii="仿宋_GB2312" w:hAnsi="Arial" w:eastAsia="仿宋_GB2312" w:cs="仿宋_GB2312"/>
          <w:color w:val="000000"/>
          <w:spacing w:val="-6"/>
          <w:kern w:val="0"/>
          <w:sz w:val="32"/>
          <w:szCs w:val="32"/>
          <w:highlight w:val="none"/>
          <w:vertAlign w:val="baseline"/>
          <w:lang w:val="en-US" w:eastAsia="zh-CN" w:bidi="ar"/>
        </w:rPr>
        <w:t>（六）智能化设施设备应当接入香山书房智慧管理系统，实现智慧化管理。</w:t>
      </w:r>
    </w:p>
    <w:p w14:paraId="3FE9C8A7">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rightChars="0" w:firstLine="616" w:firstLineChars="200"/>
        <w:jc w:val="both"/>
        <w:textAlignment w:val="baseline"/>
        <w:rPr>
          <w:rFonts w:hint="default" w:ascii="Times New Roman" w:hAnsi="Times New Roman" w:eastAsia="仿宋_GB2312" w:cs="Times New Roman"/>
          <w:color w:val="000000"/>
          <w:spacing w:val="-6"/>
          <w:kern w:val="0"/>
          <w:sz w:val="32"/>
          <w:szCs w:val="32"/>
          <w:highlight w:val="none"/>
          <w:vertAlign w:val="baseline"/>
        </w:rPr>
      </w:pPr>
      <w:r>
        <w:rPr>
          <w:rFonts w:hint="eastAsia" w:ascii="仿宋_GB2312" w:hAnsi="Arial" w:eastAsia="仿宋_GB2312" w:cs="仿宋_GB2312"/>
          <w:color w:val="000000"/>
          <w:spacing w:val="-6"/>
          <w:kern w:val="0"/>
          <w:sz w:val="32"/>
          <w:szCs w:val="32"/>
          <w:highlight w:val="none"/>
          <w:vertAlign w:val="baseline"/>
          <w:lang w:val="en-US" w:eastAsia="zh-CN" w:bidi="ar"/>
        </w:rPr>
        <w:t>（七）鼓励配置</w:t>
      </w:r>
      <w:r>
        <w:rPr>
          <w:rFonts w:hint="eastAsia" w:ascii="仿宋_GB2312" w:hAnsi="Times New Roman" w:eastAsia="仿宋_GB2312" w:cs="仿宋_GB2312"/>
          <w:color w:val="000000"/>
          <w:spacing w:val="-6"/>
          <w:kern w:val="0"/>
          <w:sz w:val="32"/>
          <w:szCs w:val="32"/>
          <w:highlight w:val="none"/>
          <w:vertAlign w:val="baseline"/>
          <w:lang w:val="en-US" w:eastAsia="zh-CN" w:bidi="ar"/>
        </w:rPr>
        <w:t>无障碍阅读设备、数字阅读终端等特色服务设施。</w:t>
      </w:r>
    </w:p>
    <w:p w14:paraId="57ACFF91">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firstLine="616" w:firstLineChars="200"/>
        <w:jc w:val="both"/>
        <w:textAlignment w:val="baseline"/>
        <w:rPr>
          <w:rFonts w:hint="default" w:ascii="Times New Roman" w:hAnsi="Times New Roman" w:eastAsia="仿宋_GB2312" w:cs="Times New Roman"/>
          <w:color w:val="000000"/>
          <w:spacing w:val="-6"/>
          <w:kern w:val="0"/>
          <w:sz w:val="32"/>
          <w:szCs w:val="32"/>
          <w:highlight w:val="none"/>
          <w:vertAlign w:val="baseline"/>
        </w:rPr>
      </w:pPr>
      <w:r>
        <w:rPr>
          <w:rFonts w:hint="eastAsia" w:ascii="楷体_GB2312" w:hAnsi="仿宋" w:eastAsia="楷体_GB2312" w:cs="楷体_GB2312"/>
          <w:color w:val="000000"/>
          <w:spacing w:val="-6"/>
          <w:kern w:val="0"/>
          <w:sz w:val="32"/>
          <w:szCs w:val="32"/>
          <w:highlight w:val="none"/>
          <w:vertAlign w:val="baseline"/>
          <w:lang w:val="en-US" w:eastAsia="zh-CN" w:bidi="ar"/>
        </w:rPr>
        <w:t>第十一条</w:t>
      </w:r>
      <w:r>
        <w:rPr>
          <w:rFonts w:hint="eastAsia" w:ascii="Times New Roman" w:hAnsi="Times New Roman" w:eastAsia="仿宋_GB2312" w:cs="Times New Roman"/>
          <w:color w:val="000000"/>
          <w:spacing w:val="-6"/>
          <w:kern w:val="0"/>
          <w:sz w:val="32"/>
          <w:szCs w:val="32"/>
          <w:highlight w:val="none"/>
          <w:vertAlign w:val="baseline"/>
          <w:lang w:val="en-US" w:eastAsia="zh-CN" w:bidi="ar"/>
        </w:rPr>
        <w:t xml:space="preserve"> </w:t>
      </w:r>
      <w:r>
        <w:rPr>
          <w:rFonts w:hint="eastAsia" w:ascii="仿宋_GB2312" w:hAnsi="Times New Roman" w:eastAsia="仿宋_GB2312" w:cs="仿宋_GB2312"/>
          <w:color w:val="000000"/>
          <w:spacing w:val="-6"/>
          <w:kern w:val="0"/>
          <w:sz w:val="32"/>
          <w:szCs w:val="32"/>
          <w:highlight w:val="none"/>
          <w:vertAlign w:val="baseline"/>
          <w:lang w:val="en-US" w:eastAsia="zh-CN" w:bidi="ar"/>
        </w:rPr>
        <w:t>安全设施配置</w:t>
      </w:r>
    </w:p>
    <w:p w14:paraId="732BD7FE">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rightChars="0" w:firstLine="616" w:firstLineChars="200"/>
        <w:jc w:val="both"/>
        <w:textAlignment w:val="baseline"/>
        <w:rPr>
          <w:rFonts w:hint="eastAsia" w:ascii="仿宋_GB2312" w:hAnsi="Arial" w:eastAsia="仿宋_GB2312" w:cs="仿宋_GB2312"/>
          <w:color w:val="000000"/>
          <w:spacing w:val="-6"/>
          <w:kern w:val="0"/>
          <w:sz w:val="32"/>
          <w:szCs w:val="32"/>
          <w:highlight w:val="none"/>
          <w:vertAlign w:val="baseline"/>
        </w:rPr>
      </w:pPr>
      <w:r>
        <w:rPr>
          <w:rFonts w:hint="eastAsia" w:ascii="仿宋_GB2312" w:hAnsi="Arial" w:eastAsia="仿宋_GB2312" w:cs="仿宋_GB2312"/>
          <w:color w:val="000000"/>
          <w:spacing w:val="-6"/>
          <w:kern w:val="0"/>
          <w:sz w:val="32"/>
          <w:szCs w:val="32"/>
          <w:highlight w:val="none"/>
          <w:vertAlign w:val="baseline"/>
          <w:lang w:val="en-US" w:eastAsia="zh-CN" w:bidi="ar"/>
        </w:rPr>
        <w:t>（一）应当配备符合《无障碍设计规范》（GB50763）要求的无障碍设施，并设置无障碍引导和服务标识。</w:t>
      </w:r>
    </w:p>
    <w:p w14:paraId="1E2FF5AD">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rightChars="0" w:firstLine="616" w:firstLineChars="200"/>
        <w:jc w:val="both"/>
        <w:textAlignment w:val="baseline"/>
        <w:rPr>
          <w:rFonts w:hint="eastAsia" w:ascii="仿宋_GB2312" w:hAnsi="Arial" w:eastAsia="仿宋_GB2312" w:cs="仿宋_GB2312"/>
          <w:color w:val="000000"/>
          <w:spacing w:val="-6"/>
          <w:kern w:val="0"/>
          <w:sz w:val="32"/>
          <w:szCs w:val="32"/>
          <w:highlight w:val="none"/>
          <w:vertAlign w:val="baseline"/>
        </w:rPr>
      </w:pPr>
      <w:r>
        <w:rPr>
          <w:rFonts w:hint="eastAsia" w:ascii="仿宋_GB2312" w:hAnsi="Arial" w:eastAsia="仿宋_GB2312" w:cs="仿宋_GB2312"/>
          <w:color w:val="000000"/>
          <w:spacing w:val="-6"/>
          <w:kern w:val="0"/>
          <w:sz w:val="32"/>
          <w:szCs w:val="32"/>
          <w:highlight w:val="none"/>
          <w:vertAlign w:val="baseline"/>
          <w:lang w:val="en-US" w:eastAsia="zh-CN" w:bidi="ar"/>
        </w:rPr>
        <w:t>（二）应当配置符合《建筑设计防火规范》（GB50016）要求的消防设施，设置</w:t>
      </w:r>
      <w:r>
        <w:rPr>
          <w:rFonts w:hint="eastAsia" w:ascii="仿宋_GB2312" w:hAnsi="仿宋" w:eastAsia="仿宋_GB2312" w:cs="仿宋_GB2312"/>
          <w:color w:val="000000"/>
          <w:spacing w:val="-6"/>
          <w:kern w:val="0"/>
          <w:sz w:val="32"/>
          <w:szCs w:val="32"/>
          <w:highlight w:val="none"/>
          <w:vertAlign w:val="baseline"/>
          <w:lang w:val="en-US" w:eastAsia="zh-CN" w:bidi="ar"/>
        </w:rPr>
        <w:t>应急照明和疏散指示标志，并建立落实月度检查制度。</w:t>
      </w:r>
    </w:p>
    <w:p w14:paraId="63055863">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rightChars="0" w:firstLine="616" w:firstLineChars="200"/>
        <w:jc w:val="both"/>
        <w:textAlignment w:val="baseline"/>
        <w:rPr>
          <w:rFonts w:hint="eastAsia" w:ascii="仿宋_GB2312" w:hAnsi="Arial" w:eastAsia="仿宋_GB2312" w:cs="仿宋_GB2312"/>
          <w:color w:val="000000"/>
          <w:spacing w:val="-6"/>
          <w:kern w:val="0"/>
          <w:sz w:val="32"/>
          <w:szCs w:val="32"/>
          <w:highlight w:val="none"/>
          <w:vertAlign w:val="baseline"/>
        </w:rPr>
      </w:pPr>
      <w:r>
        <w:rPr>
          <w:rFonts w:hint="eastAsia" w:ascii="仿宋_GB2312" w:hAnsi="仿宋" w:eastAsia="仿宋_GB2312" w:cs="仿宋_GB2312"/>
          <w:color w:val="000000"/>
          <w:spacing w:val="-6"/>
          <w:kern w:val="0"/>
          <w:sz w:val="32"/>
          <w:szCs w:val="32"/>
          <w:highlight w:val="none"/>
          <w:vertAlign w:val="baseline"/>
          <w:lang w:val="en-US" w:eastAsia="zh-CN" w:bidi="ar"/>
        </w:rPr>
        <w:t>（三）电气系统应当符合国家现行电气安全规范，配置漏电保护装置，所有电气线路采用金属管或阻燃PVC管敷设，插座回路设置过载保护装置。</w:t>
      </w:r>
    </w:p>
    <w:p w14:paraId="66598879">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rightChars="0" w:firstLine="616" w:firstLineChars="200"/>
        <w:jc w:val="both"/>
        <w:textAlignment w:val="baseline"/>
        <w:rPr>
          <w:rFonts w:hint="eastAsia" w:ascii="仿宋_GB2312" w:hAnsi="Arial" w:eastAsia="仿宋_GB2312" w:cs="仿宋_GB2312"/>
          <w:color w:val="000000"/>
          <w:spacing w:val="-6"/>
          <w:kern w:val="0"/>
          <w:sz w:val="32"/>
          <w:szCs w:val="32"/>
          <w:highlight w:val="none"/>
          <w:vertAlign w:val="baseline"/>
        </w:rPr>
      </w:pPr>
      <w:r>
        <w:rPr>
          <w:rFonts w:hint="eastAsia" w:ascii="仿宋_GB2312" w:hAnsi="仿宋" w:eastAsia="仿宋_GB2312" w:cs="仿宋_GB2312"/>
          <w:color w:val="000000"/>
          <w:spacing w:val="-6"/>
          <w:kern w:val="0"/>
          <w:sz w:val="32"/>
          <w:szCs w:val="32"/>
          <w:highlight w:val="none"/>
          <w:vertAlign w:val="baseline"/>
          <w:lang w:val="en-US" w:eastAsia="zh-CN" w:bidi="ar"/>
        </w:rPr>
        <w:t>（四）应当配置24小时</w:t>
      </w:r>
      <w:r>
        <w:rPr>
          <w:rFonts w:hint="eastAsia" w:ascii="仿宋_GB2312" w:hAnsi="Times New Roman" w:eastAsia="仿宋_GB2312" w:cs="仿宋_GB2312"/>
          <w:color w:val="000000"/>
          <w:spacing w:val="-6"/>
          <w:kern w:val="0"/>
          <w:sz w:val="32"/>
          <w:szCs w:val="32"/>
          <w:highlight w:val="none"/>
          <w:vertAlign w:val="baseline"/>
          <w:lang w:val="en-US" w:eastAsia="zh-CN" w:bidi="ar"/>
        </w:rPr>
        <w:t>视频监控系统和安全报警联动系统，确保监控覆盖主要功能区域，并建立定期维护制度。</w:t>
      </w:r>
    </w:p>
    <w:p w14:paraId="431A0B3A">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rightChars="0" w:firstLine="616" w:firstLineChars="200"/>
        <w:jc w:val="both"/>
        <w:textAlignment w:val="baseline"/>
        <w:rPr>
          <w:rFonts w:hint="eastAsia" w:ascii="仿宋_GB2312" w:hAnsi="Arial" w:eastAsia="仿宋_GB2312" w:cs="仿宋_GB2312"/>
          <w:color w:val="000000"/>
          <w:spacing w:val="-6"/>
          <w:kern w:val="0"/>
          <w:sz w:val="32"/>
          <w:szCs w:val="32"/>
          <w:highlight w:val="none"/>
          <w:vertAlign w:val="baseline"/>
        </w:rPr>
      </w:pPr>
      <w:r>
        <w:rPr>
          <w:rFonts w:hint="eastAsia" w:ascii="仿宋_GB2312" w:hAnsi="仿宋" w:eastAsia="仿宋_GB2312" w:cs="仿宋_GB2312"/>
          <w:color w:val="000000"/>
          <w:spacing w:val="-6"/>
          <w:kern w:val="0"/>
          <w:sz w:val="32"/>
          <w:szCs w:val="32"/>
          <w:highlight w:val="none"/>
          <w:vertAlign w:val="baseline"/>
          <w:lang w:val="en-US" w:eastAsia="zh-CN" w:bidi="ar"/>
        </w:rPr>
        <w:t xml:space="preserve"> </w:t>
      </w:r>
    </w:p>
    <w:p w14:paraId="68D6C2BA">
      <w:pPr>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rightChars="0"/>
        <w:jc w:val="center"/>
        <w:textAlignment w:val="baseline"/>
        <w:outlineLvl w:val="0"/>
        <w:rPr>
          <w:rFonts w:hint="eastAsia" w:ascii="黑体" w:hAnsi="宋体" w:eastAsia="黑体" w:cs="黑体"/>
          <w:b w:val="0"/>
          <w:bCs w:val="0"/>
          <w:spacing w:val="-6"/>
          <w:kern w:val="0"/>
          <w:sz w:val="32"/>
          <w:szCs w:val="32"/>
          <w:highlight w:val="none"/>
          <w:vertAlign w:val="baseline"/>
        </w:rPr>
      </w:pPr>
      <w:r>
        <w:rPr>
          <w:rFonts w:hint="eastAsia" w:ascii="黑体" w:hAnsi="宋体" w:eastAsia="黑体" w:cs="黑体"/>
          <w:b w:val="0"/>
          <w:bCs w:val="0"/>
          <w:snapToGrid w:val="0"/>
          <w:color w:val="000000"/>
          <w:spacing w:val="-6"/>
          <w:kern w:val="0"/>
          <w:sz w:val="32"/>
          <w:szCs w:val="32"/>
          <w:highlight w:val="none"/>
          <w:vertAlign w:val="baseline"/>
          <w:lang w:val="en-US" w:eastAsia="zh-CN" w:bidi="ar"/>
        </w:rPr>
        <w:t>第四章 运营要求</w:t>
      </w:r>
    </w:p>
    <w:p w14:paraId="43A3E341">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firstLine="616" w:firstLineChars="200"/>
        <w:jc w:val="both"/>
        <w:textAlignment w:val="baseline"/>
        <w:rPr>
          <w:rFonts w:hint="eastAsia" w:ascii="仿宋_GB2312" w:hAnsi="Arial" w:eastAsia="仿宋_GB2312" w:cs="仿宋_GB2312"/>
          <w:color w:val="000000"/>
          <w:spacing w:val="-6"/>
          <w:kern w:val="0"/>
          <w:sz w:val="32"/>
          <w:szCs w:val="32"/>
          <w:highlight w:val="none"/>
          <w:vertAlign w:val="baseline"/>
        </w:rPr>
      </w:pPr>
      <w:r>
        <w:rPr>
          <w:rFonts w:hint="eastAsia" w:ascii="楷体_GB2312" w:hAnsi="仿宋" w:eastAsia="楷体_GB2312" w:cs="楷体_GB2312"/>
          <w:b w:val="0"/>
          <w:bCs w:val="0"/>
          <w:color w:val="000000"/>
          <w:spacing w:val="-6"/>
          <w:kern w:val="0"/>
          <w:sz w:val="32"/>
          <w:szCs w:val="32"/>
          <w:highlight w:val="none"/>
          <w:vertAlign w:val="baseline"/>
          <w:lang w:val="en-US" w:eastAsia="zh-CN" w:bidi="ar"/>
        </w:rPr>
        <w:t>第十二条</w:t>
      </w:r>
      <w:r>
        <w:rPr>
          <w:rFonts w:hint="eastAsia" w:ascii="仿宋_GB2312" w:hAnsi="仿宋" w:eastAsia="仿宋_GB2312" w:cs="仿宋_GB2312"/>
          <w:color w:val="000000"/>
          <w:spacing w:val="-6"/>
          <w:kern w:val="0"/>
          <w:sz w:val="32"/>
          <w:szCs w:val="32"/>
          <w:highlight w:val="none"/>
          <w:vertAlign w:val="baseline"/>
          <w:lang w:val="en-US" w:eastAsia="zh-CN" w:bidi="ar"/>
        </w:rPr>
        <w:t xml:space="preserve"> 运营资源要求</w:t>
      </w:r>
    </w:p>
    <w:p w14:paraId="7997B876">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firstLine="616" w:firstLineChars="200"/>
        <w:jc w:val="both"/>
        <w:textAlignment w:val="baseline"/>
        <w:rPr>
          <w:rFonts w:hint="eastAsia" w:ascii="仿宋_GB2312" w:hAnsi="Arial" w:eastAsia="仿宋_GB2312" w:cs="仿宋_GB2312"/>
          <w:color w:val="000000"/>
          <w:spacing w:val="-6"/>
          <w:kern w:val="0"/>
          <w:sz w:val="32"/>
          <w:szCs w:val="32"/>
          <w:highlight w:val="none"/>
          <w:vertAlign w:val="baseline"/>
        </w:rPr>
      </w:pPr>
      <w:r>
        <w:rPr>
          <w:rFonts w:hint="eastAsia" w:ascii="仿宋_GB2312" w:hAnsi="仿宋" w:eastAsia="仿宋_GB2312" w:cs="仿宋_GB2312"/>
          <w:color w:val="000000"/>
          <w:spacing w:val="-6"/>
          <w:kern w:val="0"/>
          <w:sz w:val="32"/>
          <w:szCs w:val="32"/>
          <w:highlight w:val="none"/>
          <w:vertAlign w:val="baseline"/>
          <w:lang w:val="en-US" w:eastAsia="zh-CN" w:bidi="ar"/>
        </w:rPr>
        <w:t>（一）运营主体应当配备管理人员及工作人员，负责书房运营发展、日常管理与读者服务工作。</w:t>
      </w:r>
    </w:p>
    <w:p w14:paraId="6628D90E">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firstLine="616" w:firstLineChars="200"/>
        <w:jc w:val="both"/>
        <w:textAlignment w:val="baseline"/>
        <w:rPr>
          <w:rFonts w:hint="eastAsia" w:ascii="仿宋_GB2312" w:hAnsi="Arial" w:eastAsia="仿宋_GB2312" w:cs="仿宋_GB2312"/>
          <w:color w:val="000000"/>
          <w:spacing w:val="-6"/>
          <w:kern w:val="0"/>
          <w:sz w:val="32"/>
          <w:szCs w:val="32"/>
          <w:highlight w:val="none"/>
          <w:vertAlign w:val="baseline"/>
        </w:rPr>
      </w:pPr>
      <w:r>
        <w:rPr>
          <w:rFonts w:hint="eastAsia" w:ascii="仿宋_GB2312" w:hAnsi="仿宋" w:eastAsia="仿宋_GB2312" w:cs="仿宋_GB2312"/>
          <w:color w:val="000000"/>
          <w:spacing w:val="-6"/>
          <w:kern w:val="0"/>
          <w:sz w:val="32"/>
          <w:szCs w:val="32"/>
          <w:highlight w:val="none"/>
          <w:vertAlign w:val="baseline"/>
          <w:lang w:val="en-US" w:eastAsia="zh-CN" w:bidi="ar"/>
        </w:rPr>
        <w:t>（二）鼓励运营主体捐赠符合国家出版管理规定的新书补充更新图书资源，中山纪念图书馆会同属地镇街文化主管部门做好书目评价、内容把关及加工指导等工作。</w:t>
      </w:r>
    </w:p>
    <w:p w14:paraId="597C286A">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firstLine="616" w:firstLineChars="200"/>
        <w:jc w:val="both"/>
        <w:textAlignment w:val="baseline"/>
        <w:rPr>
          <w:rFonts w:hint="eastAsia" w:ascii="仿宋_GB2312" w:hAnsi="Arial" w:eastAsia="仿宋_GB2312" w:cs="仿宋_GB2312"/>
          <w:color w:val="000000"/>
          <w:spacing w:val="-6"/>
          <w:kern w:val="0"/>
          <w:sz w:val="32"/>
          <w:szCs w:val="32"/>
          <w:highlight w:val="none"/>
          <w:vertAlign w:val="baseline"/>
        </w:rPr>
      </w:pPr>
      <w:r>
        <w:rPr>
          <w:rFonts w:hint="eastAsia" w:ascii="楷体_GB2312" w:hAnsi="仿宋" w:eastAsia="楷体_GB2312" w:cs="楷体_GB2312"/>
          <w:b w:val="0"/>
          <w:bCs w:val="0"/>
          <w:color w:val="000000"/>
          <w:spacing w:val="-6"/>
          <w:kern w:val="0"/>
          <w:sz w:val="32"/>
          <w:szCs w:val="32"/>
          <w:highlight w:val="none"/>
          <w:vertAlign w:val="baseline"/>
          <w:lang w:val="en-US" w:eastAsia="zh-CN" w:bidi="ar"/>
        </w:rPr>
        <w:t>第十三条</w:t>
      </w:r>
      <w:r>
        <w:rPr>
          <w:rFonts w:hint="eastAsia" w:ascii="仿宋_GB2312" w:hAnsi="仿宋" w:eastAsia="仿宋_GB2312" w:cs="仿宋_GB2312"/>
          <w:color w:val="000000"/>
          <w:spacing w:val="-6"/>
          <w:kern w:val="0"/>
          <w:sz w:val="32"/>
          <w:szCs w:val="32"/>
          <w:highlight w:val="none"/>
          <w:vertAlign w:val="baseline"/>
          <w:lang w:val="en-US" w:eastAsia="zh-CN" w:bidi="ar"/>
        </w:rPr>
        <w:t xml:space="preserve"> 运营项目要求</w:t>
      </w:r>
    </w:p>
    <w:p w14:paraId="6575106E">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firstLine="616" w:firstLineChars="200"/>
        <w:jc w:val="both"/>
        <w:textAlignment w:val="baseline"/>
        <w:rPr>
          <w:rFonts w:hint="eastAsia" w:ascii="仿宋_GB2312" w:hAnsi="Arial" w:eastAsia="仿宋_GB2312" w:cs="仿宋_GB2312"/>
          <w:color w:val="000000"/>
          <w:spacing w:val="-6"/>
          <w:kern w:val="0"/>
          <w:sz w:val="32"/>
          <w:szCs w:val="32"/>
          <w:highlight w:val="none"/>
          <w:vertAlign w:val="baseline"/>
        </w:rPr>
      </w:pPr>
      <w:r>
        <w:rPr>
          <w:rFonts w:hint="eastAsia" w:ascii="仿宋_GB2312" w:hAnsi="仿宋" w:eastAsia="仿宋_GB2312" w:cs="仿宋_GB2312"/>
          <w:color w:val="000000"/>
          <w:spacing w:val="-6"/>
          <w:kern w:val="0"/>
          <w:sz w:val="32"/>
          <w:szCs w:val="32"/>
          <w:highlight w:val="none"/>
          <w:vertAlign w:val="baseline"/>
          <w:lang w:val="en-US" w:eastAsia="zh-CN" w:bidi="ar"/>
        </w:rPr>
        <w:t>（一）运营主体可结合实际开展图书签售、研学活动、非遗体验、科技普及、文创销售、文旅休闲、轻食餐饮、场地租赁等多元化经营项目，充分满足读者的合理需求。</w:t>
      </w:r>
    </w:p>
    <w:p w14:paraId="41F3977D">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firstLine="616" w:firstLineChars="200"/>
        <w:jc w:val="both"/>
        <w:textAlignment w:val="baseline"/>
        <w:rPr>
          <w:rFonts w:hint="eastAsia" w:ascii="仿宋_GB2312" w:hAnsi="Arial" w:eastAsia="仿宋_GB2312" w:cs="仿宋_GB2312"/>
          <w:color w:val="000000"/>
          <w:spacing w:val="-6"/>
          <w:kern w:val="0"/>
          <w:sz w:val="32"/>
          <w:szCs w:val="32"/>
          <w:highlight w:val="none"/>
          <w:vertAlign w:val="baseline"/>
        </w:rPr>
      </w:pPr>
      <w:r>
        <w:rPr>
          <w:rFonts w:hint="eastAsia" w:ascii="仿宋_GB2312" w:hAnsi="仿宋" w:eastAsia="仿宋_GB2312" w:cs="仿宋_GB2312"/>
          <w:color w:val="000000"/>
          <w:spacing w:val="-6"/>
          <w:kern w:val="0"/>
          <w:sz w:val="32"/>
          <w:szCs w:val="32"/>
          <w:highlight w:val="none"/>
          <w:vertAlign w:val="baseline"/>
          <w:lang w:val="en-US" w:eastAsia="zh-CN" w:bidi="ar"/>
        </w:rPr>
        <w:t>（二）鼓励运营主体引入新兴技术和创新项目提升服务体验。</w:t>
      </w:r>
    </w:p>
    <w:p w14:paraId="1B4D1ED7">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firstLine="616" w:firstLineChars="200"/>
        <w:jc w:val="both"/>
        <w:textAlignment w:val="baseline"/>
        <w:rPr>
          <w:rFonts w:hint="eastAsia" w:ascii="仿宋_GB2312" w:hAnsi="Arial" w:eastAsia="仿宋_GB2312" w:cs="仿宋_GB2312"/>
          <w:color w:val="000000"/>
          <w:spacing w:val="-6"/>
          <w:kern w:val="0"/>
          <w:sz w:val="32"/>
          <w:szCs w:val="32"/>
          <w:highlight w:val="none"/>
          <w:vertAlign w:val="baseline"/>
        </w:rPr>
      </w:pPr>
      <w:r>
        <w:rPr>
          <w:rFonts w:hint="eastAsia" w:ascii="仿宋_GB2312" w:hAnsi="仿宋" w:eastAsia="仿宋_GB2312" w:cs="仿宋_GB2312"/>
          <w:color w:val="000000"/>
          <w:spacing w:val="-6"/>
          <w:kern w:val="0"/>
          <w:sz w:val="32"/>
          <w:szCs w:val="32"/>
          <w:highlight w:val="none"/>
          <w:vertAlign w:val="baseline"/>
          <w:lang w:val="en-US" w:eastAsia="zh-CN" w:bidi="ar"/>
        </w:rPr>
        <w:t>（三）经营项目及其所占用的建筑面积，应当符合国家法律法规和相关管理规定。</w:t>
      </w:r>
    </w:p>
    <w:p w14:paraId="5BFE0342">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firstLine="616" w:firstLineChars="200"/>
        <w:jc w:val="both"/>
        <w:textAlignment w:val="baseline"/>
        <w:rPr>
          <w:rFonts w:hint="eastAsia" w:ascii="仿宋_GB2312" w:hAnsi="仿宋" w:eastAsia="仿宋_GB2312" w:cs="仿宋_GB2312"/>
          <w:color w:val="000000"/>
          <w:spacing w:val="-6"/>
          <w:kern w:val="0"/>
          <w:sz w:val="32"/>
          <w:szCs w:val="32"/>
          <w:highlight w:val="none"/>
          <w:vertAlign w:val="baseline"/>
        </w:rPr>
      </w:pPr>
      <w:r>
        <w:rPr>
          <w:rFonts w:hint="eastAsia" w:ascii="仿宋_GB2312" w:hAnsi="仿宋" w:eastAsia="仿宋_GB2312" w:cs="仿宋_GB2312"/>
          <w:color w:val="000000"/>
          <w:spacing w:val="-6"/>
          <w:kern w:val="0"/>
          <w:sz w:val="32"/>
          <w:szCs w:val="32"/>
          <w:highlight w:val="none"/>
          <w:vertAlign w:val="baseline"/>
          <w:lang w:val="en-US" w:eastAsia="zh-CN" w:bidi="ar"/>
        </w:rPr>
        <w:t>（四）经营项目收益应当优先保障场地租金、水电网络费用、工作人员薪酬等基本运营支出。</w:t>
      </w:r>
    </w:p>
    <w:p w14:paraId="381C1C36">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firstLine="616" w:firstLineChars="200"/>
        <w:jc w:val="both"/>
        <w:textAlignment w:val="baseline"/>
        <w:rPr>
          <w:rFonts w:hint="eastAsia" w:ascii="仿宋_GB2312" w:hAnsi="Arial" w:eastAsia="仿宋_GB2312" w:cs="仿宋_GB2312"/>
          <w:color w:val="000000"/>
          <w:spacing w:val="-6"/>
          <w:kern w:val="0"/>
          <w:sz w:val="32"/>
          <w:szCs w:val="32"/>
          <w:highlight w:val="none"/>
          <w:vertAlign w:val="baseline"/>
        </w:rPr>
      </w:pPr>
      <w:r>
        <w:rPr>
          <w:rFonts w:hint="eastAsia" w:ascii="楷体_GB2312" w:hAnsi="仿宋" w:eastAsia="楷体_GB2312" w:cs="楷体_GB2312"/>
          <w:b w:val="0"/>
          <w:bCs w:val="0"/>
          <w:color w:val="000000"/>
          <w:spacing w:val="-6"/>
          <w:kern w:val="0"/>
          <w:sz w:val="32"/>
          <w:szCs w:val="32"/>
          <w:highlight w:val="none"/>
          <w:vertAlign w:val="baseline"/>
          <w:lang w:val="en-US" w:eastAsia="zh-CN" w:bidi="ar"/>
        </w:rPr>
        <w:t>第十四条</w:t>
      </w:r>
      <w:r>
        <w:rPr>
          <w:rFonts w:hint="eastAsia" w:ascii="仿宋_GB2312" w:hAnsi="仿宋" w:eastAsia="仿宋_GB2312" w:cs="仿宋_GB2312"/>
          <w:color w:val="000000"/>
          <w:spacing w:val="-6"/>
          <w:kern w:val="0"/>
          <w:sz w:val="32"/>
          <w:szCs w:val="32"/>
          <w:highlight w:val="none"/>
          <w:vertAlign w:val="baseline"/>
          <w:lang w:val="en-US" w:eastAsia="zh-CN" w:bidi="ar"/>
        </w:rPr>
        <w:t xml:space="preserve"> 宣传交流要求</w:t>
      </w:r>
    </w:p>
    <w:p w14:paraId="0236A6A0">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firstLine="616" w:firstLineChars="200"/>
        <w:jc w:val="both"/>
        <w:textAlignment w:val="baseline"/>
        <w:rPr>
          <w:rFonts w:hint="eastAsia" w:ascii="仿宋_GB2312" w:hAnsi="Arial" w:eastAsia="仿宋_GB2312" w:cs="仿宋_GB2312"/>
          <w:color w:val="000000"/>
          <w:spacing w:val="-6"/>
          <w:kern w:val="0"/>
          <w:sz w:val="32"/>
          <w:szCs w:val="32"/>
          <w:highlight w:val="none"/>
          <w:vertAlign w:val="baseline"/>
        </w:rPr>
      </w:pPr>
      <w:r>
        <w:rPr>
          <w:rFonts w:hint="eastAsia" w:ascii="仿宋_GB2312" w:hAnsi="仿宋" w:eastAsia="仿宋_GB2312" w:cs="仿宋_GB2312"/>
          <w:color w:val="000000"/>
          <w:spacing w:val="-6"/>
          <w:kern w:val="0"/>
          <w:sz w:val="32"/>
          <w:szCs w:val="32"/>
          <w:highlight w:val="none"/>
          <w:vertAlign w:val="baseline"/>
          <w:lang w:val="en-US" w:eastAsia="zh-CN" w:bidi="ar"/>
        </w:rPr>
        <w:t>（一）运营主体应当加强线上线下宣传，及时向社会公众公告服务地址、服务时间、服务内容及特色功能等信息。</w:t>
      </w:r>
    </w:p>
    <w:p w14:paraId="1549AEAD">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firstLine="616" w:firstLineChars="200"/>
        <w:jc w:val="both"/>
        <w:textAlignment w:val="baseline"/>
        <w:rPr>
          <w:rFonts w:hint="eastAsia" w:ascii="Times New Roman" w:hAnsi="Times New Roman" w:eastAsia="仿宋_GB2312" w:cs="Times New Roman"/>
          <w:color w:val="000000"/>
          <w:spacing w:val="-6"/>
          <w:kern w:val="0"/>
          <w:sz w:val="32"/>
          <w:szCs w:val="32"/>
          <w:highlight w:val="none"/>
          <w:vertAlign w:val="baseline"/>
        </w:rPr>
      </w:pPr>
      <w:r>
        <w:rPr>
          <w:rFonts w:hint="eastAsia" w:ascii="仿宋_GB2312" w:hAnsi="仿宋" w:eastAsia="仿宋_GB2312" w:cs="仿宋_GB2312"/>
          <w:color w:val="000000"/>
          <w:spacing w:val="-6"/>
          <w:kern w:val="0"/>
          <w:sz w:val="32"/>
          <w:szCs w:val="32"/>
          <w:highlight w:val="none"/>
          <w:vertAlign w:val="baseline"/>
          <w:lang w:val="en-US" w:eastAsia="zh-CN" w:bidi="ar"/>
        </w:rPr>
        <w:t>（二）建立香山书房运营交流平台，鼓励运营主体在阅读推广、资源配置、文创开发、项目运营等方面开展交流合作，提升经营效益。</w:t>
      </w:r>
    </w:p>
    <w:p w14:paraId="27DA0704">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firstLine="616" w:firstLineChars="200"/>
        <w:jc w:val="both"/>
        <w:textAlignment w:val="baseline"/>
        <w:rPr>
          <w:rFonts w:hint="eastAsia" w:ascii="Times New Roman" w:hAnsi="Times New Roman" w:eastAsia="仿宋_GB2312" w:cs="Times New Roman"/>
          <w:color w:val="000000"/>
          <w:spacing w:val="-6"/>
          <w:kern w:val="0"/>
          <w:sz w:val="32"/>
          <w:szCs w:val="32"/>
          <w:highlight w:val="none"/>
          <w:vertAlign w:val="baseline"/>
        </w:rPr>
      </w:pPr>
      <w:r>
        <w:rPr>
          <w:rFonts w:hint="eastAsia" w:ascii="楷体_GB2312" w:hAnsi="仿宋" w:eastAsia="楷体_GB2312" w:cs="楷体_GB2312"/>
          <w:color w:val="000000"/>
          <w:spacing w:val="-6"/>
          <w:kern w:val="0"/>
          <w:sz w:val="32"/>
          <w:szCs w:val="32"/>
          <w:highlight w:val="none"/>
          <w:vertAlign w:val="baseline"/>
          <w:lang w:val="en-US" w:eastAsia="zh-CN" w:bidi="ar"/>
        </w:rPr>
        <w:t>第十五条</w:t>
      </w:r>
      <w:r>
        <w:rPr>
          <w:rFonts w:hint="eastAsia" w:ascii="Times New Roman" w:hAnsi="Times New Roman" w:eastAsia="仿宋_GB2312" w:cs="Times New Roman"/>
          <w:color w:val="000000"/>
          <w:spacing w:val="-6"/>
          <w:kern w:val="0"/>
          <w:sz w:val="32"/>
          <w:szCs w:val="32"/>
          <w:highlight w:val="none"/>
          <w:vertAlign w:val="baseline"/>
          <w:lang w:val="en-US" w:eastAsia="zh-CN" w:bidi="ar"/>
        </w:rPr>
        <w:t xml:space="preserve"> </w:t>
      </w:r>
      <w:r>
        <w:rPr>
          <w:rFonts w:hint="eastAsia" w:ascii="仿宋_GB2312" w:hAnsi="Times New Roman" w:eastAsia="仿宋_GB2312" w:cs="仿宋_GB2312"/>
          <w:color w:val="000000"/>
          <w:spacing w:val="-6"/>
          <w:kern w:val="0"/>
          <w:sz w:val="32"/>
          <w:szCs w:val="32"/>
          <w:highlight w:val="none"/>
          <w:vertAlign w:val="baseline"/>
          <w:lang w:val="en-US" w:eastAsia="zh-CN" w:bidi="ar"/>
        </w:rPr>
        <w:t>运营安全要求</w:t>
      </w:r>
    </w:p>
    <w:p w14:paraId="3400AE77">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firstLine="616" w:firstLineChars="200"/>
        <w:jc w:val="both"/>
        <w:textAlignment w:val="baseline"/>
        <w:rPr>
          <w:rFonts w:hint="eastAsia" w:ascii="仿宋_GB2312" w:hAnsi="Arial" w:eastAsia="仿宋_GB2312" w:cs="仿宋_GB2312"/>
          <w:color w:val="000000"/>
          <w:spacing w:val="-6"/>
          <w:kern w:val="0"/>
          <w:sz w:val="32"/>
          <w:szCs w:val="32"/>
          <w:highlight w:val="none"/>
          <w:vertAlign w:val="baseline"/>
        </w:rPr>
      </w:pPr>
      <w:r>
        <w:rPr>
          <w:rFonts w:hint="eastAsia" w:ascii="仿宋_GB2312" w:hAnsi="仿宋" w:eastAsia="仿宋_GB2312" w:cs="仿宋_GB2312"/>
          <w:color w:val="000000"/>
          <w:spacing w:val="-6"/>
          <w:kern w:val="0"/>
          <w:sz w:val="32"/>
          <w:szCs w:val="32"/>
          <w:highlight w:val="none"/>
          <w:vertAlign w:val="baseline"/>
          <w:lang w:val="en-US" w:eastAsia="zh-CN" w:bidi="ar"/>
        </w:rPr>
        <w:t>（一）运营主体应当履行安全生产主体责任，建立健全安全生产管理制度和应急预案，落实日常安全检查和24小时安保措施，满足安全运营要求。</w:t>
      </w:r>
    </w:p>
    <w:p w14:paraId="347DD8D3">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firstLine="616" w:firstLineChars="200"/>
        <w:jc w:val="both"/>
        <w:textAlignment w:val="baseline"/>
        <w:rPr>
          <w:rFonts w:hint="eastAsia" w:ascii="仿宋_GB2312" w:hAnsi="Arial" w:eastAsia="仿宋_GB2312" w:cs="仿宋_GB2312"/>
          <w:color w:val="000000"/>
          <w:spacing w:val="-6"/>
          <w:kern w:val="0"/>
          <w:sz w:val="32"/>
          <w:szCs w:val="32"/>
          <w:highlight w:val="none"/>
          <w:vertAlign w:val="baseline"/>
        </w:rPr>
      </w:pPr>
      <w:r>
        <w:rPr>
          <w:rFonts w:hint="eastAsia" w:ascii="仿宋_GB2312" w:hAnsi="仿宋" w:eastAsia="仿宋_GB2312" w:cs="仿宋_GB2312"/>
          <w:color w:val="000000"/>
          <w:spacing w:val="-6"/>
          <w:kern w:val="0"/>
          <w:sz w:val="32"/>
          <w:szCs w:val="32"/>
          <w:highlight w:val="none"/>
          <w:vertAlign w:val="baseline"/>
          <w:lang w:val="en-US" w:eastAsia="zh-CN" w:bidi="ar"/>
        </w:rPr>
        <w:t>（二）属地镇街文化主管部门应当履行监管职责，定期开展安全检查和安全培训，督促整改安全隐患并跟踪落实。</w:t>
      </w:r>
    </w:p>
    <w:p w14:paraId="16C5F39E">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firstLine="616" w:firstLineChars="200"/>
        <w:jc w:val="both"/>
        <w:textAlignment w:val="baseline"/>
        <w:rPr>
          <w:rFonts w:hint="eastAsia" w:ascii="仿宋_GB2312" w:hAnsi="Arial" w:eastAsia="仿宋_GB2312" w:cs="仿宋_GB2312"/>
          <w:color w:val="000000"/>
          <w:spacing w:val="-6"/>
          <w:kern w:val="0"/>
          <w:sz w:val="32"/>
          <w:szCs w:val="32"/>
          <w:highlight w:val="none"/>
          <w:vertAlign w:val="baseline"/>
        </w:rPr>
      </w:pPr>
      <w:r>
        <w:rPr>
          <w:rFonts w:hint="eastAsia" w:ascii="仿宋_GB2312" w:hAnsi="仿宋" w:eastAsia="仿宋_GB2312" w:cs="仿宋_GB2312"/>
          <w:color w:val="000000"/>
          <w:spacing w:val="-6"/>
          <w:kern w:val="0"/>
          <w:sz w:val="32"/>
          <w:szCs w:val="32"/>
          <w:highlight w:val="none"/>
          <w:vertAlign w:val="baseline"/>
          <w:lang w:val="en-US" w:eastAsia="zh-CN" w:bidi="ar"/>
        </w:rPr>
        <w:t xml:space="preserve"> </w:t>
      </w:r>
    </w:p>
    <w:p w14:paraId="24CAFF1B">
      <w:pPr>
        <w:keepNext w:val="0"/>
        <w:keepLines w:val="0"/>
        <w:widowControl w:val="0"/>
        <w:suppressLineNumbers w:val="0"/>
        <w:kinsoku w:val="0"/>
        <w:autoSpaceDE w:val="0"/>
        <w:autoSpaceDN w:val="0"/>
        <w:adjustRightInd w:val="0"/>
        <w:snapToGrid w:val="0"/>
        <w:spacing w:before="0" w:beforeAutospacing="0" w:after="0" w:afterAutospacing="0" w:line="574" w:lineRule="exact"/>
        <w:ind w:left="0" w:leftChars="0" w:right="0" w:rightChars="0" w:firstLine="0" w:firstLineChars="0"/>
        <w:jc w:val="center"/>
        <w:textAlignment w:val="baseline"/>
        <w:outlineLvl w:val="0"/>
        <w:rPr>
          <w:rFonts w:hint="eastAsia" w:ascii="黑体" w:hAnsi="宋体" w:eastAsia="黑体" w:cs="黑体"/>
          <w:b w:val="0"/>
          <w:bCs w:val="0"/>
          <w:spacing w:val="-6"/>
          <w:kern w:val="0"/>
          <w:sz w:val="32"/>
          <w:szCs w:val="32"/>
          <w:highlight w:val="none"/>
          <w:vertAlign w:val="baseline"/>
        </w:rPr>
      </w:pPr>
      <w:r>
        <w:rPr>
          <w:rFonts w:hint="eastAsia" w:ascii="黑体" w:hAnsi="宋体" w:eastAsia="黑体" w:cs="黑体"/>
          <w:b w:val="0"/>
          <w:bCs w:val="0"/>
          <w:snapToGrid w:val="0"/>
          <w:color w:val="000000"/>
          <w:spacing w:val="-6"/>
          <w:kern w:val="0"/>
          <w:sz w:val="32"/>
          <w:szCs w:val="32"/>
          <w:highlight w:val="none"/>
          <w:vertAlign w:val="baseline"/>
          <w:lang w:val="en-US" w:eastAsia="zh-CN" w:bidi="ar"/>
        </w:rPr>
        <w:t>第五章 申报说明</w:t>
      </w:r>
    </w:p>
    <w:p w14:paraId="618BEBA3">
      <w:pPr>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rightChars="0" w:firstLine="616" w:firstLineChars="200"/>
        <w:jc w:val="both"/>
        <w:textAlignment w:val="baseline"/>
        <w:outlineLvl w:val="0"/>
        <w:rPr>
          <w:rFonts w:hint="eastAsia" w:ascii="楷体" w:hAnsi="楷体" w:eastAsia="楷体" w:cs="楷体"/>
          <w:spacing w:val="-6"/>
          <w:kern w:val="0"/>
          <w:sz w:val="32"/>
          <w:szCs w:val="32"/>
          <w:highlight w:val="none"/>
          <w:vertAlign w:val="baseline"/>
        </w:rPr>
      </w:pPr>
      <w:r>
        <w:rPr>
          <w:rFonts w:hint="eastAsia" w:ascii="楷体" w:hAnsi="楷体" w:eastAsia="楷体" w:cs="楷体"/>
          <w:snapToGrid w:val="0"/>
          <w:color w:val="000000"/>
          <w:spacing w:val="-6"/>
          <w:kern w:val="0"/>
          <w:sz w:val="32"/>
          <w:szCs w:val="32"/>
          <w:highlight w:val="none"/>
          <w:vertAlign w:val="baseline"/>
          <w:lang w:val="en-US" w:eastAsia="zh-CN" w:bidi="ar"/>
        </w:rPr>
        <w:t xml:space="preserve">第十六条 </w:t>
      </w:r>
      <w:r>
        <w:rPr>
          <w:rFonts w:hint="eastAsia" w:ascii="仿宋_GB2312" w:hAnsi="Arial" w:eastAsia="仿宋_GB2312" w:cs="仿宋_GB2312"/>
          <w:snapToGrid w:val="0"/>
          <w:color w:val="000000"/>
          <w:spacing w:val="-6"/>
          <w:kern w:val="0"/>
          <w:sz w:val="32"/>
          <w:szCs w:val="32"/>
          <w:highlight w:val="none"/>
          <w:vertAlign w:val="baseline"/>
          <w:lang w:val="en-US" w:eastAsia="zh-CN" w:bidi="ar"/>
        </w:rPr>
        <w:t>建设申报</w:t>
      </w:r>
    </w:p>
    <w:p w14:paraId="2DE352EA">
      <w:pPr>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rightChars="0" w:firstLine="616" w:firstLineChars="200"/>
        <w:jc w:val="both"/>
        <w:textAlignment w:val="baseline"/>
        <w:outlineLvl w:val="0"/>
        <w:rPr>
          <w:rFonts w:hint="eastAsia" w:ascii="仿宋_GB2312" w:hAnsi="Arial" w:eastAsia="仿宋_GB2312" w:cs="仿宋_GB2312"/>
          <w:spacing w:val="-6"/>
          <w:kern w:val="0"/>
          <w:sz w:val="32"/>
          <w:szCs w:val="32"/>
          <w:highlight w:val="none"/>
          <w:vertAlign w:val="baseline"/>
        </w:rPr>
      </w:pPr>
      <w:r>
        <w:rPr>
          <w:rFonts w:hint="eastAsia" w:ascii="仿宋_GB2312" w:hAnsi="Arial" w:eastAsia="仿宋_GB2312" w:cs="仿宋_GB2312"/>
          <w:snapToGrid w:val="0"/>
          <w:color w:val="000000"/>
          <w:spacing w:val="-6"/>
          <w:kern w:val="0"/>
          <w:sz w:val="32"/>
          <w:szCs w:val="32"/>
          <w:highlight w:val="none"/>
          <w:vertAlign w:val="baseline"/>
          <w:lang w:val="en-US" w:eastAsia="zh-CN" w:bidi="ar"/>
        </w:rPr>
        <w:t>（一）适用情形</w:t>
      </w:r>
    </w:p>
    <w:p w14:paraId="1F3118DF">
      <w:pPr>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rightChars="0" w:firstLine="616" w:firstLineChars="200"/>
        <w:jc w:val="both"/>
        <w:textAlignment w:val="baseline"/>
        <w:outlineLvl w:val="0"/>
        <w:rPr>
          <w:rFonts w:hint="eastAsia" w:ascii="仿宋_GB2312" w:hAnsi="Arial" w:eastAsia="仿宋_GB2312" w:cs="仿宋_GB2312"/>
          <w:spacing w:val="-6"/>
          <w:kern w:val="0"/>
          <w:sz w:val="32"/>
          <w:szCs w:val="32"/>
          <w:highlight w:val="none"/>
          <w:vertAlign w:val="baseline"/>
        </w:rPr>
      </w:pPr>
      <w:r>
        <w:rPr>
          <w:rFonts w:hint="eastAsia" w:ascii="仿宋_GB2312" w:hAnsi="Arial" w:eastAsia="仿宋_GB2312" w:cs="仿宋_GB2312"/>
          <w:snapToGrid w:val="0"/>
          <w:color w:val="000000"/>
          <w:spacing w:val="-6"/>
          <w:kern w:val="0"/>
          <w:sz w:val="32"/>
          <w:szCs w:val="32"/>
          <w:highlight w:val="none"/>
          <w:vertAlign w:val="baseline"/>
          <w:lang w:val="en-US" w:eastAsia="zh-CN" w:bidi="ar"/>
        </w:rPr>
        <w:t>在中山市范围内新建“香山书房”。</w:t>
      </w:r>
    </w:p>
    <w:p w14:paraId="0311524E">
      <w:pPr>
        <w:keepNext w:val="0"/>
        <w:keepLines w:val="0"/>
        <w:widowControl w:val="0"/>
        <w:suppressLineNumbers w:val="0"/>
        <w:kinsoku w:val="0"/>
        <w:autoSpaceDE w:val="0"/>
        <w:autoSpaceDN w:val="0"/>
        <w:adjustRightInd w:val="0"/>
        <w:snapToGrid w:val="0"/>
        <w:spacing w:before="0" w:beforeAutospacing="0" w:after="0" w:afterAutospacing="0" w:line="574" w:lineRule="exact"/>
        <w:ind w:left="0" w:leftChars="0" w:right="0" w:rightChars="0" w:firstLine="616" w:firstLineChars="200"/>
        <w:jc w:val="both"/>
        <w:textAlignment w:val="baseline"/>
        <w:outlineLvl w:val="0"/>
        <w:rPr>
          <w:rFonts w:hint="eastAsia" w:ascii="仿宋_GB2312" w:hAnsi="Arial" w:eastAsia="仿宋_GB2312" w:cs="仿宋_GB2312"/>
          <w:spacing w:val="-6"/>
          <w:kern w:val="0"/>
          <w:sz w:val="32"/>
          <w:szCs w:val="32"/>
          <w:highlight w:val="none"/>
          <w:vertAlign w:val="baseline"/>
        </w:rPr>
      </w:pPr>
      <w:r>
        <w:rPr>
          <w:rFonts w:hint="eastAsia" w:ascii="仿宋_GB2312" w:hAnsi="Arial" w:eastAsia="仿宋_GB2312" w:cs="仿宋_GB2312"/>
          <w:snapToGrid w:val="0"/>
          <w:color w:val="000000"/>
          <w:spacing w:val="-6"/>
          <w:kern w:val="0"/>
          <w:sz w:val="32"/>
          <w:szCs w:val="32"/>
          <w:highlight w:val="none"/>
          <w:vertAlign w:val="baseline"/>
          <w:lang w:val="en-US" w:eastAsia="zh-CN" w:bidi="ar"/>
        </w:rPr>
        <w:t>（二）申报及受理流程</w:t>
      </w:r>
    </w:p>
    <w:p w14:paraId="06D54DA4">
      <w:pPr>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rightChars="0" w:firstLine="616" w:firstLineChars="200"/>
        <w:jc w:val="both"/>
        <w:textAlignment w:val="baseline"/>
        <w:outlineLvl w:val="0"/>
        <w:rPr>
          <w:rFonts w:hint="eastAsia" w:ascii="仿宋_GB2312" w:hAnsi="Arial" w:eastAsia="仿宋_GB2312" w:cs="仿宋_GB2312"/>
          <w:spacing w:val="-6"/>
          <w:kern w:val="0"/>
          <w:sz w:val="32"/>
          <w:szCs w:val="32"/>
          <w:highlight w:val="none"/>
          <w:vertAlign w:val="baseline"/>
        </w:rPr>
      </w:pPr>
      <w:r>
        <w:rPr>
          <w:rFonts w:hint="eastAsia" w:ascii="仿宋_GB2312" w:hAnsi="Arial" w:eastAsia="仿宋_GB2312" w:cs="仿宋_GB2312"/>
          <w:snapToGrid w:val="0"/>
          <w:color w:val="000000"/>
          <w:spacing w:val="-6"/>
          <w:kern w:val="0"/>
          <w:sz w:val="32"/>
          <w:szCs w:val="32"/>
          <w:highlight w:val="none"/>
          <w:vertAlign w:val="baseline"/>
          <w:lang w:val="en-US" w:eastAsia="zh-CN" w:bidi="ar"/>
        </w:rPr>
        <w:t>1.申报主体与中山纪念图书馆联系，由中山纪念图书馆组织开展前期的实地勘察和可行性初步评估。</w:t>
      </w:r>
    </w:p>
    <w:p w14:paraId="6A7529EB">
      <w:pPr>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rightChars="0" w:firstLine="616" w:firstLineChars="200"/>
        <w:jc w:val="both"/>
        <w:textAlignment w:val="baseline"/>
        <w:outlineLvl w:val="0"/>
        <w:rPr>
          <w:rFonts w:hint="eastAsia" w:ascii="仿宋_GB2312" w:hAnsi="Arial" w:eastAsia="仿宋_GB2312" w:cs="仿宋_GB2312"/>
          <w:b w:val="0"/>
          <w:bCs w:val="0"/>
          <w:spacing w:val="-6"/>
          <w:kern w:val="0"/>
          <w:sz w:val="32"/>
          <w:szCs w:val="32"/>
          <w:highlight w:val="none"/>
          <w:vertAlign w:val="baseline"/>
        </w:rPr>
      </w:pPr>
      <w:r>
        <w:rPr>
          <w:rFonts w:hint="eastAsia" w:ascii="仿宋_GB2312" w:hAnsi="Arial" w:eastAsia="仿宋_GB2312" w:cs="仿宋_GB2312"/>
          <w:snapToGrid w:val="0"/>
          <w:color w:val="000000"/>
          <w:spacing w:val="-6"/>
          <w:kern w:val="0"/>
          <w:sz w:val="32"/>
          <w:szCs w:val="32"/>
          <w:highlight w:val="none"/>
          <w:vertAlign w:val="baseline"/>
          <w:lang w:val="en-US" w:eastAsia="zh-CN" w:bidi="ar"/>
        </w:rPr>
        <w:t>2.经初步评估符合建设条件的，申报主体应当向市文化广电旅游局提交加盖公章的正式申报材料。市文化广电旅游局经研究后，作出是</w:t>
      </w:r>
      <w:r>
        <w:rPr>
          <w:rFonts w:hint="eastAsia" w:ascii="仿宋_GB2312" w:hAnsi="Arial" w:eastAsia="仿宋_GB2312" w:cs="仿宋_GB2312"/>
          <w:b w:val="0"/>
          <w:bCs w:val="0"/>
          <w:snapToGrid w:val="0"/>
          <w:color w:val="000000"/>
          <w:spacing w:val="-6"/>
          <w:kern w:val="0"/>
          <w:sz w:val="32"/>
          <w:szCs w:val="32"/>
          <w:highlight w:val="none"/>
          <w:vertAlign w:val="baseline"/>
          <w:lang w:val="en-US" w:eastAsia="zh-CN" w:bidi="ar"/>
        </w:rPr>
        <w:t>否同意建设的书面决定，并将有关意见书面通知申报主体。</w:t>
      </w:r>
    </w:p>
    <w:p w14:paraId="4FC40D25">
      <w:pPr>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rightChars="0" w:firstLine="616" w:firstLineChars="200"/>
        <w:jc w:val="both"/>
        <w:textAlignment w:val="baseline"/>
        <w:outlineLvl w:val="0"/>
        <w:rPr>
          <w:rFonts w:hint="eastAsia" w:ascii="仿宋_GB2312" w:hAnsi="Arial" w:eastAsia="仿宋_GB2312" w:cs="仿宋_GB2312"/>
          <w:b w:val="0"/>
          <w:bCs w:val="0"/>
          <w:spacing w:val="-6"/>
          <w:kern w:val="0"/>
          <w:sz w:val="32"/>
          <w:szCs w:val="32"/>
          <w:highlight w:val="none"/>
          <w:vertAlign w:val="baseline"/>
        </w:rPr>
      </w:pPr>
      <w:r>
        <w:rPr>
          <w:rFonts w:hint="eastAsia" w:ascii="仿宋_GB2312" w:hAnsi="Arial" w:eastAsia="仿宋_GB2312" w:cs="仿宋_GB2312"/>
          <w:b w:val="0"/>
          <w:bCs w:val="0"/>
          <w:snapToGrid w:val="0"/>
          <w:color w:val="000000"/>
          <w:spacing w:val="-6"/>
          <w:kern w:val="0"/>
          <w:sz w:val="32"/>
          <w:szCs w:val="32"/>
          <w:highlight w:val="none"/>
          <w:vertAlign w:val="baseline"/>
          <w:lang w:val="en-US" w:eastAsia="zh-CN" w:bidi="ar"/>
        </w:rPr>
        <w:t>3.获准建设的项目，</w:t>
      </w:r>
      <w:r>
        <w:rPr>
          <w:rFonts w:hint="eastAsia" w:ascii="仿宋_GB2312" w:hAnsi="Times New Roman" w:eastAsia="仿宋_GB2312" w:cs="仿宋_GB2312"/>
          <w:snapToGrid w:val="0"/>
          <w:color w:val="000000"/>
          <w:spacing w:val="-6"/>
          <w:kern w:val="0"/>
          <w:sz w:val="32"/>
          <w:szCs w:val="32"/>
          <w:highlight w:val="none"/>
          <w:vertAlign w:val="baseline"/>
          <w:lang w:val="en-US" w:eastAsia="zh-CN" w:bidi="ar"/>
        </w:rPr>
        <w:t>建设主体应当严格按照建设方案和指导意见开展建设，定期向中山纪念图书馆及属地镇街文化主管部门反馈建设进度，并接受业务指导和监督检查。</w:t>
      </w:r>
    </w:p>
    <w:p w14:paraId="60A1DF91">
      <w:pPr>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rightChars="0" w:firstLine="616" w:firstLineChars="200"/>
        <w:jc w:val="both"/>
        <w:textAlignment w:val="baseline"/>
        <w:outlineLvl w:val="0"/>
        <w:rPr>
          <w:rFonts w:hint="eastAsia" w:ascii="仿宋_GB2312" w:hAnsi="Arial" w:eastAsia="仿宋_GB2312" w:cs="仿宋_GB2312"/>
          <w:spacing w:val="-6"/>
          <w:kern w:val="0"/>
          <w:sz w:val="32"/>
          <w:szCs w:val="32"/>
          <w:highlight w:val="none"/>
          <w:vertAlign w:val="baseline"/>
        </w:rPr>
      </w:pPr>
      <w:r>
        <w:rPr>
          <w:rFonts w:hint="eastAsia" w:ascii="仿宋_GB2312" w:hAnsi="Arial" w:eastAsia="仿宋_GB2312" w:cs="仿宋_GB2312"/>
          <w:snapToGrid w:val="0"/>
          <w:color w:val="000000"/>
          <w:spacing w:val="-6"/>
          <w:kern w:val="0"/>
          <w:sz w:val="32"/>
          <w:szCs w:val="32"/>
          <w:highlight w:val="none"/>
          <w:vertAlign w:val="baseline"/>
          <w:lang w:val="en-US" w:eastAsia="zh-CN" w:bidi="ar"/>
        </w:rPr>
        <w:t>（三）申报材料</w:t>
      </w:r>
    </w:p>
    <w:p w14:paraId="1B13DDA4">
      <w:pPr>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rightChars="0" w:firstLine="616" w:firstLineChars="200"/>
        <w:jc w:val="both"/>
        <w:textAlignment w:val="baseline"/>
        <w:outlineLvl w:val="0"/>
        <w:rPr>
          <w:rFonts w:hint="eastAsia" w:ascii="仿宋_GB2312" w:hAnsi="Arial" w:eastAsia="仿宋_GB2312" w:cs="仿宋_GB2312"/>
          <w:spacing w:val="-6"/>
          <w:kern w:val="0"/>
          <w:sz w:val="32"/>
          <w:szCs w:val="32"/>
          <w:highlight w:val="none"/>
          <w:vertAlign w:val="baseline"/>
        </w:rPr>
      </w:pPr>
      <w:r>
        <w:rPr>
          <w:rFonts w:hint="eastAsia" w:ascii="仿宋_GB2312" w:hAnsi="Arial" w:eastAsia="仿宋_GB2312" w:cs="仿宋_GB2312"/>
          <w:snapToGrid w:val="0"/>
          <w:color w:val="000000"/>
          <w:spacing w:val="-6"/>
          <w:kern w:val="0"/>
          <w:sz w:val="32"/>
          <w:szCs w:val="32"/>
          <w:highlight w:val="none"/>
          <w:vertAlign w:val="baseline"/>
          <w:lang w:val="en-US" w:eastAsia="zh-CN" w:bidi="ar"/>
        </w:rPr>
        <w:t>1.按要求填写的《中山市“香山书房”项目建设申报书》</w:t>
      </w:r>
      <w:r>
        <w:rPr>
          <w:rFonts w:hint="eastAsia" w:ascii="仿宋_GB2312" w:hAnsi="Times New Roman" w:eastAsia="仿宋_GB2312" w:cs="仿宋_GB2312"/>
          <w:snapToGrid w:val="0"/>
          <w:color w:val="000000"/>
          <w:spacing w:val="-6"/>
          <w:kern w:val="0"/>
          <w:sz w:val="32"/>
          <w:szCs w:val="32"/>
          <w:highlight w:val="none"/>
          <w:vertAlign w:val="baseline"/>
          <w:lang w:val="en-US" w:eastAsia="zh-CN" w:bidi="ar"/>
        </w:rPr>
        <w:t>（见附件</w:t>
      </w:r>
      <w:r>
        <w:rPr>
          <w:rFonts w:hint="default" w:ascii="Times New Roman" w:hAnsi="Times New Roman" w:eastAsia="仿宋_GB2312" w:cs="Times New Roman"/>
          <w:snapToGrid w:val="0"/>
          <w:color w:val="000000"/>
          <w:spacing w:val="-6"/>
          <w:kern w:val="0"/>
          <w:sz w:val="32"/>
          <w:szCs w:val="32"/>
          <w:highlight w:val="none"/>
          <w:vertAlign w:val="baseline"/>
          <w:lang w:val="en-US" w:eastAsia="zh-CN" w:bidi="ar"/>
        </w:rPr>
        <w:t>1</w:t>
      </w:r>
      <w:r>
        <w:rPr>
          <w:rFonts w:hint="eastAsia" w:ascii="仿宋_GB2312" w:hAnsi="Times New Roman" w:eastAsia="仿宋_GB2312" w:cs="仿宋_GB2312"/>
          <w:snapToGrid w:val="0"/>
          <w:color w:val="000000"/>
          <w:spacing w:val="-6"/>
          <w:kern w:val="0"/>
          <w:sz w:val="32"/>
          <w:szCs w:val="32"/>
          <w:highlight w:val="none"/>
          <w:vertAlign w:val="baseline"/>
          <w:lang w:val="en-US" w:eastAsia="zh-CN" w:bidi="ar"/>
        </w:rPr>
        <w:t>）</w:t>
      </w:r>
      <w:r>
        <w:rPr>
          <w:rFonts w:hint="eastAsia" w:ascii="仿宋_GB2312" w:hAnsi="Arial" w:eastAsia="仿宋_GB2312" w:cs="仿宋_GB2312"/>
          <w:snapToGrid w:val="0"/>
          <w:color w:val="000000"/>
          <w:spacing w:val="-6"/>
          <w:kern w:val="0"/>
          <w:sz w:val="32"/>
          <w:szCs w:val="32"/>
          <w:highlight w:val="none"/>
          <w:vertAlign w:val="baseline"/>
          <w:lang w:val="en-US" w:eastAsia="zh-CN" w:bidi="ar"/>
        </w:rPr>
        <w:t>。</w:t>
      </w:r>
    </w:p>
    <w:p w14:paraId="5678A4AE">
      <w:pPr>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rightChars="0" w:firstLine="616" w:firstLineChars="200"/>
        <w:jc w:val="both"/>
        <w:textAlignment w:val="baseline"/>
        <w:outlineLvl w:val="0"/>
        <w:rPr>
          <w:rFonts w:hint="eastAsia" w:ascii="仿宋_GB2312" w:hAnsi="Arial" w:eastAsia="仿宋_GB2312" w:cs="仿宋_GB2312"/>
          <w:spacing w:val="-6"/>
          <w:kern w:val="0"/>
          <w:sz w:val="32"/>
          <w:szCs w:val="32"/>
          <w:highlight w:val="none"/>
          <w:vertAlign w:val="baseline"/>
        </w:rPr>
      </w:pPr>
      <w:r>
        <w:rPr>
          <w:rFonts w:hint="eastAsia" w:ascii="仿宋_GB2312" w:hAnsi="Arial" w:eastAsia="仿宋_GB2312" w:cs="仿宋_GB2312"/>
          <w:snapToGrid w:val="0"/>
          <w:color w:val="000000"/>
          <w:spacing w:val="-6"/>
          <w:kern w:val="0"/>
          <w:sz w:val="32"/>
          <w:szCs w:val="32"/>
          <w:highlight w:val="none"/>
          <w:vertAlign w:val="baseline"/>
          <w:lang w:val="en-US" w:eastAsia="zh-CN" w:bidi="ar"/>
        </w:rPr>
        <w:t>2.</w:t>
      </w:r>
      <w:r>
        <w:rPr>
          <w:rFonts w:hint="eastAsia" w:ascii="仿宋_GB2312" w:hAnsi="Times New Roman" w:eastAsia="仿宋_GB2312" w:cs="仿宋_GB2312"/>
          <w:snapToGrid w:val="0"/>
          <w:color w:val="000000"/>
          <w:spacing w:val="-6"/>
          <w:kern w:val="0"/>
          <w:sz w:val="32"/>
          <w:szCs w:val="32"/>
          <w:highlight w:val="none"/>
          <w:vertAlign w:val="baseline"/>
          <w:lang w:val="en-US" w:eastAsia="zh-CN" w:bidi="ar"/>
        </w:rPr>
        <w:t>主体资格说明材料</w:t>
      </w:r>
      <w:r>
        <w:rPr>
          <w:rFonts w:hint="eastAsia" w:ascii="仿宋_GB2312" w:hAnsi="Arial" w:eastAsia="仿宋_GB2312" w:cs="仿宋_GB2312"/>
          <w:snapToGrid w:val="0"/>
          <w:color w:val="000000"/>
          <w:spacing w:val="-6"/>
          <w:kern w:val="0"/>
          <w:sz w:val="32"/>
          <w:szCs w:val="32"/>
          <w:highlight w:val="none"/>
          <w:vertAlign w:val="baseline"/>
          <w:lang w:val="en-US" w:eastAsia="zh-CN" w:bidi="ar"/>
        </w:rPr>
        <w:t>，</w:t>
      </w:r>
      <w:r>
        <w:rPr>
          <w:rFonts w:hint="eastAsia" w:ascii="仿宋_GB2312" w:hAnsi="Times New Roman" w:eastAsia="仿宋_GB2312" w:cs="仿宋_GB2312"/>
          <w:snapToGrid w:val="0"/>
          <w:color w:val="000000"/>
          <w:spacing w:val="-6"/>
          <w:kern w:val="0"/>
          <w:sz w:val="32"/>
          <w:szCs w:val="32"/>
          <w:highlight w:val="none"/>
          <w:vertAlign w:val="baseline"/>
          <w:lang w:val="en-US" w:eastAsia="zh-CN" w:bidi="ar"/>
        </w:rPr>
        <w:t>包括有效的营业执照或</w:t>
      </w:r>
      <w:r>
        <w:rPr>
          <w:rFonts w:hint="eastAsia" w:ascii="仿宋_GB2312" w:hAnsi="Arial" w:eastAsia="仿宋_GB2312" w:cs="仿宋_GB2312"/>
          <w:snapToGrid w:val="0"/>
          <w:color w:val="000000"/>
          <w:spacing w:val="-6"/>
          <w:kern w:val="0"/>
          <w:sz w:val="32"/>
          <w:szCs w:val="32"/>
          <w:highlight w:val="none"/>
          <w:vertAlign w:val="baseline"/>
          <w:lang w:val="en-US" w:eastAsia="zh-CN" w:bidi="ar"/>
        </w:rPr>
        <w:t>法人登记证书复印件</w:t>
      </w:r>
      <w:r>
        <w:rPr>
          <w:rFonts w:hint="eastAsia" w:ascii="仿宋_GB2312" w:hAnsi="Times New Roman" w:eastAsia="仿宋_GB2312" w:cs="仿宋_GB2312"/>
          <w:snapToGrid w:val="0"/>
          <w:color w:val="000000"/>
          <w:spacing w:val="-6"/>
          <w:kern w:val="0"/>
          <w:sz w:val="32"/>
          <w:szCs w:val="32"/>
          <w:highlight w:val="none"/>
          <w:vertAlign w:val="baseline"/>
          <w:lang w:val="en-US" w:eastAsia="zh-CN" w:bidi="ar"/>
        </w:rPr>
        <w:t>。</w:t>
      </w:r>
    </w:p>
    <w:p w14:paraId="558E9D04">
      <w:pPr>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rightChars="0" w:firstLine="616" w:firstLineChars="200"/>
        <w:jc w:val="both"/>
        <w:textAlignment w:val="baseline"/>
        <w:outlineLvl w:val="0"/>
        <w:rPr>
          <w:rFonts w:hint="eastAsia" w:ascii="仿宋_GB2312" w:hAnsi="Arial" w:eastAsia="仿宋_GB2312" w:cs="仿宋_GB2312"/>
          <w:spacing w:val="-6"/>
          <w:kern w:val="0"/>
          <w:sz w:val="32"/>
          <w:szCs w:val="32"/>
          <w:highlight w:val="none"/>
          <w:vertAlign w:val="baseline"/>
        </w:rPr>
      </w:pPr>
      <w:r>
        <w:rPr>
          <w:rFonts w:hint="eastAsia" w:ascii="仿宋_GB2312" w:hAnsi="Arial" w:eastAsia="仿宋_GB2312" w:cs="仿宋_GB2312"/>
          <w:snapToGrid w:val="0"/>
          <w:color w:val="000000"/>
          <w:spacing w:val="-6"/>
          <w:kern w:val="0"/>
          <w:sz w:val="32"/>
          <w:szCs w:val="32"/>
          <w:highlight w:val="none"/>
          <w:vertAlign w:val="baseline"/>
          <w:lang w:val="en-US" w:eastAsia="zh-CN" w:bidi="ar"/>
        </w:rPr>
        <w:t>3.</w:t>
      </w:r>
      <w:r>
        <w:rPr>
          <w:rFonts w:hint="eastAsia" w:ascii="仿宋_GB2312" w:hAnsi="Times New Roman" w:eastAsia="仿宋_GB2312" w:cs="仿宋_GB2312"/>
          <w:snapToGrid w:val="0"/>
          <w:color w:val="000000"/>
          <w:spacing w:val="-6"/>
          <w:kern w:val="0"/>
          <w:sz w:val="32"/>
          <w:szCs w:val="32"/>
          <w:highlight w:val="none"/>
          <w:vertAlign w:val="baseline"/>
          <w:lang w:val="en-US" w:eastAsia="zh-CN" w:bidi="ar"/>
        </w:rPr>
        <w:t>场地说明材料，包括建筑产权证明或使用权证明文件、设计方案及投入费用、现场实景照片等。</w:t>
      </w:r>
    </w:p>
    <w:p w14:paraId="7A0281BC">
      <w:pPr>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rightChars="0" w:firstLine="616" w:firstLineChars="200"/>
        <w:jc w:val="both"/>
        <w:textAlignment w:val="baseline"/>
        <w:outlineLvl w:val="0"/>
        <w:rPr>
          <w:rFonts w:hint="eastAsia" w:ascii="仿宋_GB2312" w:hAnsi="Times New Roman" w:eastAsia="仿宋_GB2312" w:cs="仿宋_GB2312"/>
          <w:spacing w:val="-6"/>
          <w:kern w:val="0"/>
          <w:sz w:val="32"/>
          <w:szCs w:val="32"/>
          <w:highlight w:val="none"/>
          <w:vertAlign w:val="baseline"/>
        </w:rPr>
      </w:pPr>
      <w:r>
        <w:rPr>
          <w:rFonts w:hint="eastAsia" w:ascii="仿宋_GB2312" w:hAnsi="Arial" w:eastAsia="仿宋_GB2312" w:cs="仿宋_GB2312"/>
          <w:snapToGrid w:val="0"/>
          <w:color w:val="000000"/>
          <w:spacing w:val="-6"/>
          <w:kern w:val="0"/>
          <w:sz w:val="32"/>
          <w:szCs w:val="32"/>
          <w:highlight w:val="none"/>
          <w:vertAlign w:val="baseline"/>
          <w:lang w:val="en-US" w:eastAsia="zh-CN" w:bidi="ar"/>
        </w:rPr>
        <w:t>4.</w:t>
      </w:r>
      <w:r>
        <w:rPr>
          <w:rFonts w:hint="eastAsia" w:ascii="仿宋_GB2312" w:hAnsi="Times New Roman" w:eastAsia="仿宋_GB2312" w:cs="仿宋_GB2312"/>
          <w:snapToGrid w:val="0"/>
          <w:color w:val="000000"/>
          <w:spacing w:val="-6"/>
          <w:kern w:val="0"/>
          <w:sz w:val="32"/>
          <w:szCs w:val="32"/>
          <w:highlight w:val="none"/>
          <w:vertAlign w:val="baseline"/>
          <w:lang w:val="en-US" w:eastAsia="zh-CN" w:bidi="ar"/>
        </w:rPr>
        <w:t>其他能够体现建设主体运营能力和项目可行性的相关材料。</w:t>
      </w:r>
    </w:p>
    <w:p w14:paraId="7A4172E8">
      <w:pPr>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rightChars="0" w:firstLine="616" w:firstLineChars="200"/>
        <w:jc w:val="both"/>
        <w:textAlignment w:val="baseline"/>
        <w:outlineLvl w:val="0"/>
        <w:rPr>
          <w:rFonts w:hint="eastAsia" w:ascii="仿宋_GB2312" w:hAnsi="Times New Roman" w:eastAsia="仿宋_GB2312" w:cs="仿宋_GB2312"/>
          <w:spacing w:val="-6"/>
          <w:kern w:val="0"/>
          <w:sz w:val="32"/>
          <w:szCs w:val="32"/>
          <w:highlight w:val="none"/>
          <w:vertAlign w:val="baseline"/>
        </w:rPr>
      </w:pPr>
      <w:r>
        <w:rPr>
          <w:rFonts w:hint="eastAsia" w:ascii="仿宋_GB2312" w:hAnsi="Times New Roman" w:eastAsia="仿宋_GB2312" w:cs="仿宋_GB2312"/>
          <w:snapToGrid w:val="0"/>
          <w:color w:val="000000"/>
          <w:spacing w:val="-6"/>
          <w:kern w:val="0"/>
          <w:sz w:val="32"/>
          <w:szCs w:val="32"/>
          <w:highlight w:val="none"/>
          <w:vertAlign w:val="baseline"/>
          <w:lang w:val="en-US" w:eastAsia="zh-CN" w:bidi="ar"/>
        </w:rPr>
        <w:t>5.市文化广电旅游局要求的其他补充材料。</w:t>
      </w:r>
    </w:p>
    <w:p w14:paraId="7C73BCE4">
      <w:pPr>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rightChars="0" w:firstLine="616" w:firstLineChars="200"/>
        <w:jc w:val="both"/>
        <w:textAlignment w:val="baseline"/>
        <w:outlineLvl w:val="0"/>
        <w:rPr>
          <w:rFonts w:hint="eastAsia" w:ascii="Times New Roman" w:hAnsi="Times New Roman" w:eastAsia="仿宋_GB2312" w:cs="Times New Roman"/>
          <w:spacing w:val="-6"/>
          <w:kern w:val="0"/>
          <w:sz w:val="32"/>
          <w:szCs w:val="32"/>
          <w:highlight w:val="none"/>
          <w:vertAlign w:val="baseline"/>
        </w:rPr>
      </w:pPr>
      <w:r>
        <w:rPr>
          <w:rFonts w:hint="eastAsia" w:ascii="楷体" w:hAnsi="楷体" w:eastAsia="楷体" w:cs="楷体"/>
          <w:snapToGrid w:val="0"/>
          <w:color w:val="000000"/>
          <w:spacing w:val="-6"/>
          <w:kern w:val="0"/>
          <w:sz w:val="32"/>
          <w:szCs w:val="32"/>
          <w:highlight w:val="none"/>
          <w:vertAlign w:val="baseline"/>
          <w:lang w:val="en-US" w:eastAsia="zh-CN" w:bidi="ar"/>
        </w:rPr>
        <w:t>第十七条</w:t>
      </w:r>
      <w:r>
        <w:rPr>
          <w:rFonts w:hint="eastAsia" w:ascii="Times New Roman" w:hAnsi="Times New Roman" w:eastAsia="仿宋_GB2312" w:cs="Times New Roman"/>
          <w:snapToGrid w:val="0"/>
          <w:color w:val="000000"/>
          <w:spacing w:val="-6"/>
          <w:kern w:val="0"/>
          <w:sz w:val="32"/>
          <w:szCs w:val="32"/>
          <w:highlight w:val="none"/>
          <w:vertAlign w:val="baseline"/>
          <w:lang w:val="en-US" w:eastAsia="zh-CN" w:bidi="ar"/>
        </w:rPr>
        <w:t xml:space="preserve"> </w:t>
      </w:r>
      <w:r>
        <w:rPr>
          <w:rFonts w:hint="eastAsia" w:ascii="仿宋_GB2312" w:hAnsi="Times New Roman" w:eastAsia="仿宋_GB2312" w:cs="仿宋_GB2312"/>
          <w:snapToGrid w:val="0"/>
          <w:color w:val="000000"/>
          <w:spacing w:val="-6"/>
          <w:kern w:val="0"/>
          <w:sz w:val="32"/>
          <w:szCs w:val="32"/>
          <w:highlight w:val="none"/>
          <w:vertAlign w:val="baseline"/>
          <w:lang w:val="en-US" w:eastAsia="zh-CN" w:bidi="ar"/>
        </w:rPr>
        <w:t>重大变更申报</w:t>
      </w:r>
    </w:p>
    <w:p w14:paraId="5C7539BA">
      <w:pPr>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rightChars="0" w:firstLine="616" w:firstLineChars="200"/>
        <w:jc w:val="both"/>
        <w:textAlignment w:val="baseline"/>
        <w:outlineLvl w:val="0"/>
        <w:rPr>
          <w:rFonts w:hint="eastAsia" w:ascii="Times New Roman" w:hAnsi="Times New Roman" w:eastAsia="仿宋_GB2312" w:cs="Times New Roman"/>
          <w:spacing w:val="-6"/>
          <w:kern w:val="0"/>
          <w:sz w:val="32"/>
          <w:szCs w:val="32"/>
          <w:highlight w:val="none"/>
          <w:vertAlign w:val="baseline"/>
        </w:rPr>
      </w:pPr>
      <w:r>
        <w:rPr>
          <w:rFonts w:hint="eastAsia" w:ascii="仿宋_GB2312" w:hAnsi="Times New Roman" w:eastAsia="仿宋_GB2312" w:cs="仿宋_GB2312"/>
          <w:snapToGrid w:val="0"/>
          <w:color w:val="000000"/>
          <w:spacing w:val="-6"/>
          <w:kern w:val="0"/>
          <w:sz w:val="32"/>
          <w:szCs w:val="32"/>
          <w:highlight w:val="none"/>
          <w:vertAlign w:val="baseline"/>
          <w:lang w:val="en-US" w:eastAsia="zh-CN" w:bidi="ar"/>
        </w:rPr>
        <w:t>（一）适用情形</w:t>
      </w:r>
    </w:p>
    <w:p w14:paraId="1A30C967">
      <w:pPr>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rightChars="0" w:firstLine="616" w:firstLineChars="200"/>
        <w:jc w:val="both"/>
        <w:textAlignment w:val="baseline"/>
        <w:outlineLvl w:val="0"/>
        <w:rPr>
          <w:rFonts w:hint="eastAsia" w:ascii="仿宋_GB2312" w:hAnsi="Times New Roman" w:eastAsia="仿宋_GB2312" w:cs="仿宋_GB2312"/>
          <w:spacing w:val="-6"/>
          <w:kern w:val="0"/>
          <w:sz w:val="32"/>
          <w:szCs w:val="32"/>
          <w:highlight w:val="none"/>
          <w:vertAlign w:val="baseline"/>
        </w:rPr>
      </w:pPr>
      <w:r>
        <w:rPr>
          <w:rFonts w:hint="eastAsia" w:ascii="仿宋_GB2312" w:hAnsi="Arial" w:eastAsia="仿宋_GB2312" w:cs="仿宋_GB2312"/>
          <w:snapToGrid w:val="0"/>
          <w:color w:val="000000"/>
          <w:spacing w:val="-6"/>
          <w:kern w:val="0"/>
          <w:sz w:val="32"/>
          <w:szCs w:val="32"/>
          <w:highlight w:val="none"/>
          <w:vertAlign w:val="baseline"/>
          <w:lang w:val="en-US" w:eastAsia="zh-CN" w:bidi="ar"/>
        </w:rPr>
        <w:t>1.</w:t>
      </w:r>
      <w:r>
        <w:rPr>
          <w:rFonts w:hint="eastAsia" w:ascii="仿宋_GB2312" w:hAnsi="Times New Roman" w:eastAsia="仿宋_GB2312" w:cs="仿宋_GB2312"/>
          <w:snapToGrid w:val="0"/>
          <w:color w:val="000000"/>
          <w:spacing w:val="-6"/>
          <w:kern w:val="0"/>
          <w:sz w:val="32"/>
          <w:szCs w:val="32"/>
          <w:highlight w:val="none"/>
          <w:vertAlign w:val="baseline"/>
          <w:lang w:val="en-US" w:eastAsia="zh-CN" w:bidi="ar"/>
        </w:rPr>
        <w:t>在建的香山书房发生原定选址变更、建设方案重大调整、运营模式实质性改变、投资总额变动超过</w:t>
      </w:r>
      <w:r>
        <w:rPr>
          <w:rFonts w:hint="eastAsia" w:ascii="仿宋_GB2312" w:hAnsi="Arial" w:eastAsia="仿宋_GB2312" w:cs="仿宋_GB2312"/>
          <w:snapToGrid w:val="0"/>
          <w:color w:val="000000"/>
          <w:spacing w:val="-6"/>
          <w:kern w:val="0"/>
          <w:sz w:val="32"/>
          <w:szCs w:val="32"/>
          <w:highlight w:val="none"/>
          <w:vertAlign w:val="baseline"/>
          <w:lang w:val="en-US" w:eastAsia="zh-CN" w:bidi="ar"/>
        </w:rPr>
        <w:t>30%</w:t>
      </w:r>
      <w:r>
        <w:rPr>
          <w:rFonts w:hint="eastAsia" w:ascii="仿宋_GB2312" w:hAnsi="Times New Roman" w:eastAsia="仿宋_GB2312" w:cs="仿宋_GB2312"/>
          <w:snapToGrid w:val="0"/>
          <w:color w:val="000000"/>
          <w:spacing w:val="-6"/>
          <w:kern w:val="0"/>
          <w:sz w:val="32"/>
          <w:szCs w:val="32"/>
          <w:highlight w:val="none"/>
          <w:vertAlign w:val="baseline"/>
          <w:lang w:val="en-US" w:eastAsia="zh-CN" w:bidi="ar"/>
        </w:rPr>
        <w:t>等重大变更，应当申报。</w:t>
      </w:r>
    </w:p>
    <w:p w14:paraId="650B046C">
      <w:pPr>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rightChars="0" w:firstLine="616" w:firstLineChars="200"/>
        <w:jc w:val="both"/>
        <w:textAlignment w:val="baseline"/>
        <w:outlineLvl w:val="0"/>
        <w:rPr>
          <w:rFonts w:hint="eastAsia" w:ascii="仿宋_GB2312" w:hAnsi="Times New Roman" w:eastAsia="仿宋_GB2312" w:cs="仿宋_GB2312"/>
          <w:spacing w:val="-6"/>
          <w:kern w:val="0"/>
          <w:sz w:val="32"/>
          <w:szCs w:val="32"/>
          <w:highlight w:val="none"/>
          <w:vertAlign w:val="baseline"/>
        </w:rPr>
      </w:pPr>
      <w:r>
        <w:rPr>
          <w:rFonts w:hint="eastAsia" w:ascii="仿宋_GB2312" w:hAnsi="Arial" w:eastAsia="仿宋_GB2312" w:cs="仿宋_GB2312"/>
          <w:snapToGrid w:val="0"/>
          <w:color w:val="000000"/>
          <w:spacing w:val="-6"/>
          <w:kern w:val="0"/>
          <w:sz w:val="32"/>
          <w:szCs w:val="32"/>
          <w:highlight w:val="none"/>
          <w:vertAlign w:val="baseline"/>
          <w:lang w:val="en-US" w:eastAsia="zh-CN" w:bidi="ar"/>
        </w:rPr>
        <w:t>2.</w:t>
      </w:r>
      <w:r>
        <w:rPr>
          <w:rFonts w:hint="eastAsia" w:ascii="仿宋_GB2312" w:hAnsi="Times New Roman" w:eastAsia="仿宋_GB2312" w:cs="仿宋_GB2312"/>
          <w:snapToGrid w:val="0"/>
          <w:color w:val="000000"/>
          <w:spacing w:val="-6"/>
          <w:kern w:val="0"/>
          <w:sz w:val="32"/>
          <w:szCs w:val="32"/>
          <w:highlight w:val="none"/>
          <w:vertAlign w:val="baseline"/>
          <w:lang w:val="en-US" w:eastAsia="zh-CN" w:bidi="ar"/>
        </w:rPr>
        <w:t>已投入运营的香山书房发生书房地址变更、服务面积大幅减少、连续停止运营30天以上等重大变更，应当申报。</w:t>
      </w:r>
    </w:p>
    <w:p w14:paraId="525EA7C1">
      <w:pPr>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rightChars="0" w:firstLine="616" w:firstLineChars="200"/>
        <w:jc w:val="both"/>
        <w:textAlignment w:val="baseline"/>
        <w:outlineLvl w:val="0"/>
        <w:rPr>
          <w:rFonts w:hint="eastAsia" w:ascii="仿宋_GB2312" w:hAnsi="Arial" w:eastAsia="仿宋_GB2312" w:cs="仿宋_GB2312"/>
          <w:spacing w:val="-6"/>
          <w:kern w:val="0"/>
          <w:sz w:val="32"/>
          <w:szCs w:val="32"/>
          <w:highlight w:val="none"/>
          <w:vertAlign w:val="baseline"/>
        </w:rPr>
      </w:pPr>
      <w:r>
        <w:rPr>
          <w:rFonts w:hint="eastAsia" w:ascii="仿宋_GB2312" w:hAnsi="Arial" w:eastAsia="仿宋_GB2312" w:cs="仿宋_GB2312"/>
          <w:snapToGrid w:val="0"/>
          <w:color w:val="000000"/>
          <w:spacing w:val="-6"/>
          <w:kern w:val="0"/>
          <w:sz w:val="32"/>
          <w:szCs w:val="32"/>
          <w:highlight w:val="none"/>
          <w:vertAlign w:val="baseline"/>
          <w:lang w:val="en-US" w:eastAsia="zh-CN" w:bidi="ar"/>
        </w:rPr>
        <w:t>（二）申报及受理流程</w:t>
      </w:r>
    </w:p>
    <w:p w14:paraId="5EDD13BF">
      <w:pPr>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rightChars="0" w:firstLine="616" w:firstLineChars="200"/>
        <w:jc w:val="both"/>
        <w:textAlignment w:val="baseline"/>
        <w:outlineLvl w:val="0"/>
        <w:rPr>
          <w:rFonts w:hint="eastAsia" w:ascii="仿宋_GB2312" w:hAnsi="Arial" w:eastAsia="仿宋_GB2312" w:cs="仿宋_GB2312"/>
          <w:spacing w:val="-6"/>
          <w:kern w:val="0"/>
          <w:sz w:val="32"/>
          <w:szCs w:val="32"/>
          <w:highlight w:val="none"/>
          <w:vertAlign w:val="baseline"/>
        </w:rPr>
      </w:pPr>
      <w:r>
        <w:rPr>
          <w:rFonts w:hint="eastAsia" w:ascii="仿宋_GB2312" w:hAnsi="Arial" w:eastAsia="仿宋_GB2312" w:cs="仿宋_GB2312"/>
          <w:snapToGrid w:val="0"/>
          <w:color w:val="000000"/>
          <w:spacing w:val="-6"/>
          <w:kern w:val="0"/>
          <w:sz w:val="32"/>
          <w:szCs w:val="32"/>
          <w:highlight w:val="none"/>
          <w:vertAlign w:val="baseline"/>
          <w:lang w:val="en-US" w:eastAsia="zh-CN" w:bidi="ar"/>
        </w:rPr>
        <w:t>1.申报主体与中山纪念图书馆联系，由中山纪念图书馆组织开展前期的实地勘察和可行性初步评估。</w:t>
      </w:r>
    </w:p>
    <w:p w14:paraId="404732EF">
      <w:pPr>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rightChars="0" w:firstLine="616" w:firstLineChars="200"/>
        <w:jc w:val="both"/>
        <w:textAlignment w:val="baseline"/>
        <w:outlineLvl w:val="0"/>
        <w:rPr>
          <w:rFonts w:hint="eastAsia" w:ascii="仿宋_GB2312" w:hAnsi="Arial" w:eastAsia="仿宋_GB2312" w:cs="仿宋_GB2312"/>
          <w:b w:val="0"/>
          <w:bCs w:val="0"/>
          <w:spacing w:val="-6"/>
          <w:kern w:val="0"/>
          <w:sz w:val="32"/>
          <w:szCs w:val="32"/>
          <w:highlight w:val="none"/>
          <w:vertAlign w:val="baseline"/>
        </w:rPr>
      </w:pPr>
      <w:r>
        <w:rPr>
          <w:rFonts w:hint="eastAsia" w:ascii="仿宋_GB2312" w:hAnsi="Arial" w:eastAsia="仿宋_GB2312" w:cs="仿宋_GB2312"/>
          <w:snapToGrid w:val="0"/>
          <w:color w:val="000000"/>
          <w:spacing w:val="-6"/>
          <w:kern w:val="0"/>
          <w:sz w:val="32"/>
          <w:szCs w:val="32"/>
          <w:highlight w:val="none"/>
          <w:vertAlign w:val="baseline"/>
          <w:lang w:val="en-US" w:eastAsia="zh-CN" w:bidi="ar"/>
        </w:rPr>
        <w:t>2.经评估符合变更条件的，申报主体应当向市文化广电旅游局提交加盖公章的正式申报材料。市文化广电旅游局经研究后</w:t>
      </w:r>
      <w:r>
        <w:rPr>
          <w:rFonts w:hint="eastAsia" w:ascii="仿宋_GB2312" w:hAnsi="Arial" w:eastAsia="仿宋_GB2312" w:cs="仿宋_GB2312"/>
          <w:b w:val="0"/>
          <w:bCs w:val="0"/>
          <w:snapToGrid w:val="0"/>
          <w:color w:val="000000"/>
          <w:spacing w:val="-6"/>
          <w:kern w:val="0"/>
          <w:sz w:val="32"/>
          <w:szCs w:val="32"/>
          <w:highlight w:val="none"/>
          <w:vertAlign w:val="baseline"/>
          <w:lang w:val="en-US" w:eastAsia="zh-CN" w:bidi="ar"/>
        </w:rPr>
        <w:t>，将有关意见书面通知申报主体。</w:t>
      </w:r>
    </w:p>
    <w:p w14:paraId="0B9C87B5">
      <w:pPr>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rightChars="0" w:firstLine="616" w:firstLineChars="200"/>
        <w:jc w:val="both"/>
        <w:textAlignment w:val="baseline"/>
        <w:outlineLvl w:val="0"/>
        <w:rPr>
          <w:rFonts w:hint="eastAsia" w:ascii="Times New Roman" w:hAnsi="Times New Roman" w:eastAsia="仿宋_GB2312" w:cs="Times New Roman"/>
          <w:spacing w:val="-6"/>
          <w:kern w:val="0"/>
          <w:sz w:val="32"/>
          <w:szCs w:val="32"/>
          <w:highlight w:val="none"/>
          <w:vertAlign w:val="baseline"/>
        </w:rPr>
      </w:pPr>
      <w:r>
        <w:rPr>
          <w:rFonts w:hint="eastAsia" w:ascii="仿宋_GB2312" w:hAnsi="Arial" w:eastAsia="仿宋_GB2312" w:cs="仿宋_GB2312"/>
          <w:b w:val="0"/>
          <w:bCs w:val="0"/>
          <w:snapToGrid w:val="0"/>
          <w:color w:val="000000"/>
          <w:spacing w:val="-6"/>
          <w:kern w:val="0"/>
          <w:sz w:val="32"/>
          <w:szCs w:val="32"/>
          <w:highlight w:val="none"/>
          <w:vertAlign w:val="baseline"/>
          <w:lang w:val="en-US" w:eastAsia="zh-CN" w:bidi="ar"/>
        </w:rPr>
        <w:t>3.获准变更的项目，</w:t>
      </w:r>
      <w:r>
        <w:rPr>
          <w:rFonts w:hint="eastAsia" w:ascii="仿宋_GB2312" w:hAnsi="Times New Roman" w:eastAsia="仿宋_GB2312" w:cs="仿宋_GB2312"/>
          <w:snapToGrid w:val="0"/>
          <w:color w:val="000000"/>
          <w:spacing w:val="-6"/>
          <w:kern w:val="0"/>
          <w:sz w:val="32"/>
          <w:szCs w:val="32"/>
          <w:highlight w:val="none"/>
          <w:vertAlign w:val="baseline"/>
          <w:lang w:val="en-US" w:eastAsia="zh-CN" w:bidi="ar"/>
        </w:rPr>
        <w:t>建设主体应当在中山纪念图书馆和属地镇街文化主管部门的监督指导下实施变更，并提前做好公示公告等相关工作。</w:t>
      </w:r>
    </w:p>
    <w:p w14:paraId="43FA751E">
      <w:pPr>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rightChars="0" w:firstLine="616" w:firstLineChars="200"/>
        <w:jc w:val="both"/>
        <w:textAlignment w:val="baseline"/>
        <w:outlineLvl w:val="0"/>
        <w:rPr>
          <w:rFonts w:hint="eastAsia" w:ascii="Times New Roman" w:hAnsi="Times New Roman" w:eastAsia="仿宋_GB2312" w:cs="Times New Roman"/>
          <w:spacing w:val="-6"/>
          <w:kern w:val="0"/>
          <w:sz w:val="32"/>
          <w:szCs w:val="32"/>
          <w:highlight w:val="none"/>
          <w:vertAlign w:val="baseline"/>
        </w:rPr>
      </w:pPr>
      <w:r>
        <w:rPr>
          <w:rFonts w:hint="eastAsia" w:ascii="仿宋_GB2312" w:hAnsi="Times New Roman" w:eastAsia="仿宋_GB2312" w:cs="仿宋_GB2312"/>
          <w:snapToGrid w:val="0"/>
          <w:color w:val="000000"/>
          <w:spacing w:val="-6"/>
          <w:kern w:val="0"/>
          <w:sz w:val="32"/>
          <w:szCs w:val="32"/>
          <w:highlight w:val="none"/>
          <w:vertAlign w:val="baseline"/>
          <w:lang w:val="en-US" w:eastAsia="zh-CN" w:bidi="ar"/>
        </w:rPr>
        <w:t>（三）申报材料</w:t>
      </w:r>
    </w:p>
    <w:p w14:paraId="6E537780">
      <w:pPr>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rightChars="0" w:firstLine="616" w:firstLineChars="200"/>
        <w:jc w:val="both"/>
        <w:textAlignment w:val="baseline"/>
        <w:outlineLvl w:val="0"/>
        <w:rPr>
          <w:rFonts w:hint="eastAsia" w:ascii="仿宋_GB2312" w:hAnsi="Arial" w:eastAsia="仿宋_GB2312" w:cs="仿宋_GB2312"/>
          <w:spacing w:val="-6"/>
          <w:kern w:val="0"/>
          <w:sz w:val="32"/>
          <w:szCs w:val="32"/>
          <w:highlight w:val="none"/>
          <w:vertAlign w:val="baseline"/>
        </w:rPr>
      </w:pPr>
      <w:r>
        <w:rPr>
          <w:rFonts w:hint="eastAsia" w:ascii="仿宋_GB2312" w:hAnsi="Arial" w:eastAsia="仿宋_GB2312" w:cs="仿宋_GB2312"/>
          <w:snapToGrid w:val="0"/>
          <w:color w:val="000000"/>
          <w:spacing w:val="-6"/>
          <w:kern w:val="0"/>
          <w:sz w:val="32"/>
          <w:szCs w:val="32"/>
          <w:highlight w:val="none"/>
          <w:vertAlign w:val="baseline"/>
          <w:lang w:val="en-US" w:eastAsia="zh-CN" w:bidi="ar"/>
        </w:rPr>
        <w:t>1.按要求填写的《中山市“香山书房”重大事项变更申请书》（见附件2）。</w:t>
      </w:r>
    </w:p>
    <w:p w14:paraId="4675AE7E">
      <w:pPr>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rightChars="0" w:firstLine="616" w:firstLineChars="200"/>
        <w:jc w:val="both"/>
        <w:textAlignment w:val="baseline"/>
        <w:outlineLvl w:val="0"/>
        <w:rPr>
          <w:rFonts w:hint="eastAsia" w:ascii="仿宋_GB2312" w:hAnsi="Times New Roman" w:eastAsia="仿宋_GB2312" w:cs="仿宋_GB2312"/>
          <w:spacing w:val="-6"/>
          <w:kern w:val="0"/>
          <w:sz w:val="32"/>
          <w:szCs w:val="32"/>
          <w:highlight w:val="none"/>
          <w:vertAlign w:val="baseline"/>
        </w:rPr>
      </w:pPr>
      <w:r>
        <w:rPr>
          <w:rFonts w:hint="eastAsia" w:ascii="仿宋_GB2312" w:hAnsi="Arial" w:eastAsia="仿宋_GB2312" w:cs="仿宋_GB2312"/>
          <w:snapToGrid w:val="0"/>
          <w:color w:val="000000"/>
          <w:spacing w:val="-6"/>
          <w:kern w:val="0"/>
          <w:sz w:val="32"/>
          <w:szCs w:val="32"/>
          <w:highlight w:val="none"/>
          <w:vertAlign w:val="baseline"/>
          <w:lang w:val="en-US" w:eastAsia="zh-CN" w:bidi="ar"/>
        </w:rPr>
        <w:t>2.</w:t>
      </w:r>
      <w:r>
        <w:rPr>
          <w:rFonts w:hint="eastAsia" w:ascii="仿宋_GB2312" w:hAnsi="Times New Roman" w:eastAsia="仿宋_GB2312" w:cs="仿宋_GB2312"/>
          <w:snapToGrid w:val="0"/>
          <w:color w:val="000000"/>
          <w:spacing w:val="-6"/>
          <w:kern w:val="0"/>
          <w:sz w:val="32"/>
          <w:szCs w:val="32"/>
          <w:highlight w:val="none"/>
          <w:vertAlign w:val="baseline"/>
          <w:lang w:val="en-US" w:eastAsia="zh-CN" w:bidi="ar"/>
        </w:rPr>
        <w:t>说明变更必要性和可行性的材料。</w:t>
      </w:r>
    </w:p>
    <w:p w14:paraId="05963D48">
      <w:pPr>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rightChars="0" w:firstLine="616" w:firstLineChars="200"/>
        <w:jc w:val="both"/>
        <w:textAlignment w:val="baseline"/>
        <w:outlineLvl w:val="0"/>
        <w:rPr>
          <w:rFonts w:hint="eastAsia" w:ascii="仿宋_GB2312" w:hAnsi="Times New Roman" w:eastAsia="仿宋_GB2312" w:cs="仿宋_GB2312"/>
          <w:spacing w:val="-6"/>
          <w:kern w:val="0"/>
          <w:sz w:val="32"/>
          <w:szCs w:val="32"/>
          <w:highlight w:val="none"/>
          <w:vertAlign w:val="baseline"/>
        </w:rPr>
      </w:pPr>
      <w:r>
        <w:rPr>
          <w:rFonts w:hint="eastAsia" w:ascii="仿宋_GB2312" w:hAnsi="Times New Roman" w:eastAsia="仿宋_GB2312" w:cs="仿宋_GB2312"/>
          <w:snapToGrid w:val="0"/>
          <w:color w:val="000000"/>
          <w:spacing w:val="-6"/>
          <w:kern w:val="0"/>
          <w:sz w:val="32"/>
          <w:szCs w:val="32"/>
          <w:highlight w:val="none"/>
          <w:vertAlign w:val="baseline"/>
          <w:lang w:val="en-US" w:eastAsia="zh-CN" w:bidi="ar"/>
        </w:rPr>
        <w:t>3.市文化广电旅游局要求的其他补充材料。</w:t>
      </w:r>
    </w:p>
    <w:p w14:paraId="47C4F619">
      <w:pPr>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rightChars="0" w:firstLine="616" w:firstLineChars="200"/>
        <w:jc w:val="both"/>
        <w:textAlignment w:val="baseline"/>
        <w:outlineLvl w:val="0"/>
        <w:rPr>
          <w:rFonts w:hint="eastAsia" w:ascii="Times New Roman" w:hAnsi="Times New Roman" w:eastAsia="仿宋_GB2312" w:cs="Times New Roman"/>
          <w:spacing w:val="-6"/>
          <w:kern w:val="0"/>
          <w:sz w:val="32"/>
          <w:szCs w:val="32"/>
          <w:highlight w:val="none"/>
          <w:vertAlign w:val="baseline"/>
        </w:rPr>
      </w:pPr>
      <w:r>
        <w:rPr>
          <w:rFonts w:hint="eastAsia" w:ascii="楷体" w:hAnsi="楷体" w:eastAsia="楷体" w:cs="楷体"/>
          <w:snapToGrid w:val="0"/>
          <w:color w:val="000000"/>
          <w:spacing w:val="-6"/>
          <w:kern w:val="0"/>
          <w:sz w:val="32"/>
          <w:szCs w:val="32"/>
          <w:highlight w:val="none"/>
          <w:vertAlign w:val="baseline"/>
          <w:lang w:val="en-US" w:eastAsia="zh-CN" w:bidi="ar"/>
        </w:rPr>
        <w:t>第十八条</w:t>
      </w:r>
      <w:r>
        <w:rPr>
          <w:rFonts w:hint="eastAsia" w:ascii="Times New Roman" w:hAnsi="Times New Roman" w:eastAsia="仿宋_GB2312" w:cs="Times New Roman"/>
          <w:snapToGrid w:val="0"/>
          <w:color w:val="000000"/>
          <w:spacing w:val="-6"/>
          <w:kern w:val="0"/>
          <w:sz w:val="32"/>
          <w:szCs w:val="32"/>
          <w:highlight w:val="none"/>
          <w:vertAlign w:val="baseline"/>
          <w:lang w:val="en-US" w:eastAsia="zh-CN" w:bidi="ar"/>
        </w:rPr>
        <w:t xml:space="preserve"> </w:t>
      </w:r>
      <w:r>
        <w:rPr>
          <w:rFonts w:hint="eastAsia" w:ascii="仿宋_GB2312" w:hAnsi="Times New Roman" w:eastAsia="仿宋_GB2312" w:cs="仿宋_GB2312"/>
          <w:snapToGrid w:val="0"/>
          <w:color w:val="000000"/>
          <w:spacing w:val="-6"/>
          <w:kern w:val="0"/>
          <w:sz w:val="32"/>
          <w:szCs w:val="32"/>
          <w:highlight w:val="none"/>
          <w:vertAlign w:val="baseline"/>
          <w:lang w:val="en-US" w:eastAsia="zh-CN" w:bidi="ar"/>
        </w:rPr>
        <w:t>退出申报</w:t>
      </w:r>
    </w:p>
    <w:p w14:paraId="7B2BF6EE">
      <w:pPr>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rightChars="0" w:firstLine="616" w:firstLineChars="200"/>
        <w:jc w:val="both"/>
        <w:textAlignment w:val="baseline"/>
        <w:outlineLvl w:val="0"/>
        <w:rPr>
          <w:rFonts w:hint="eastAsia" w:ascii="仿宋_GB2312" w:hAnsi="Arial" w:eastAsia="仿宋_GB2312" w:cs="仿宋_GB2312"/>
          <w:spacing w:val="-6"/>
          <w:kern w:val="0"/>
          <w:sz w:val="32"/>
          <w:szCs w:val="32"/>
          <w:highlight w:val="none"/>
          <w:vertAlign w:val="baseline"/>
        </w:rPr>
      </w:pPr>
      <w:r>
        <w:rPr>
          <w:rFonts w:hint="eastAsia" w:ascii="仿宋_GB2312" w:hAnsi="Arial" w:eastAsia="仿宋_GB2312" w:cs="仿宋_GB2312"/>
          <w:snapToGrid w:val="0"/>
          <w:color w:val="000000"/>
          <w:spacing w:val="-6"/>
          <w:kern w:val="0"/>
          <w:sz w:val="32"/>
          <w:szCs w:val="32"/>
          <w:highlight w:val="none"/>
          <w:vertAlign w:val="baseline"/>
          <w:lang w:val="en-US" w:eastAsia="zh-CN" w:bidi="ar"/>
        </w:rPr>
        <w:t>（一）适用情形</w:t>
      </w:r>
    </w:p>
    <w:p w14:paraId="552B218A">
      <w:pPr>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rightChars="0" w:firstLine="616" w:firstLineChars="200"/>
        <w:jc w:val="both"/>
        <w:textAlignment w:val="baseline"/>
        <w:outlineLvl w:val="0"/>
        <w:rPr>
          <w:rFonts w:hint="eastAsia" w:ascii="仿宋_GB2312" w:hAnsi="Arial" w:eastAsia="仿宋_GB2312" w:cs="仿宋_GB2312"/>
          <w:spacing w:val="-6"/>
          <w:kern w:val="0"/>
          <w:sz w:val="32"/>
          <w:szCs w:val="32"/>
          <w:highlight w:val="none"/>
          <w:vertAlign w:val="baseline"/>
        </w:rPr>
      </w:pPr>
      <w:r>
        <w:rPr>
          <w:rFonts w:hint="eastAsia" w:ascii="仿宋_GB2312" w:hAnsi="Arial" w:eastAsia="仿宋_GB2312" w:cs="仿宋_GB2312"/>
          <w:snapToGrid w:val="0"/>
          <w:color w:val="000000"/>
          <w:spacing w:val="-6"/>
          <w:kern w:val="0"/>
          <w:sz w:val="32"/>
          <w:szCs w:val="32"/>
          <w:highlight w:val="none"/>
          <w:vertAlign w:val="baseline"/>
          <w:lang w:val="en-US" w:eastAsia="zh-CN" w:bidi="ar"/>
        </w:rPr>
        <w:t>符合《中山市“香山书房”退出机制（试行）》规定的退出情形。</w:t>
      </w:r>
    </w:p>
    <w:p w14:paraId="769C7496">
      <w:pPr>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rightChars="0" w:firstLine="616" w:firstLineChars="200"/>
        <w:jc w:val="both"/>
        <w:textAlignment w:val="baseline"/>
        <w:outlineLvl w:val="0"/>
        <w:rPr>
          <w:rFonts w:hint="eastAsia" w:ascii="仿宋_GB2312" w:hAnsi="Arial" w:eastAsia="仿宋_GB2312" w:cs="仿宋_GB2312"/>
          <w:spacing w:val="-6"/>
          <w:kern w:val="0"/>
          <w:sz w:val="32"/>
          <w:szCs w:val="32"/>
          <w:highlight w:val="none"/>
          <w:vertAlign w:val="baseline"/>
        </w:rPr>
      </w:pPr>
      <w:r>
        <w:rPr>
          <w:rFonts w:hint="eastAsia" w:ascii="仿宋_GB2312" w:hAnsi="Arial" w:eastAsia="仿宋_GB2312" w:cs="仿宋_GB2312"/>
          <w:snapToGrid w:val="0"/>
          <w:color w:val="000000"/>
          <w:spacing w:val="-6"/>
          <w:kern w:val="0"/>
          <w:sz w:val="32"/>
          <w:szCs w:val="32"/>
          <w:highlight w:val="none"/>
          <w:vertAlign w:val="baseline"/>
          <w:lang w:val="en-US" w:eastAsia="zh-CN" w:bidi="ar"/>
        </w:rPr>
        <w:t>（二）申报及受理流程</w:t>
      </w:r>
    </w:p>
    <w:p w14:paraId="33C9ADB4">
      <w:pPr>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rightChars="0" w:firstLine="616" w:firstLineChars="200"/>
        <w:jc w:val="both"/>
        <w:textAlignment w:val="baseline"/>
        <w:outlineLvl w:val="0"/>
        <w:rPr>
          <w:rFonts w:hint="eastAsia" w:ascii="仿宋_GB2312" w:hAnsi="Arial" w:eastAsia="仿宋_GB2312" w:cs="仿宋_GB2312"/>
          <w:spacing w:val="-6"/>
          <w:kern w:val="0"/>
          <w:sz w:val="32"/>
          <w:szCs w:val="32"/>
          <w:highlight w:val="none"/>
          <w:vertAlign w:val="baseline"/>
        </w:rPr>
      </w:pPr>
      <w:r>
        <w:rPr>
          <w:rFonts w:hint="eastAsia" w:ascii="仿宋_GB2312" w:hAnsi="Arial" w:eastAsia="仿宋_GB2312" w:cs="仿宋_GB2312"/>
          <w:snapToGrid w:val="0"/>
          <w:color w:val="000000"/>
          <w:spacing w:val="-6"/>
          <w:kern w:val="0"/>
          <w:sz w:val="32"/>
          <w:szCs w:val="32"/>
          <w:highlight w:val="none"/>
          <w:vertAlign w:val="baseline"/>
          <w:lang w:val="en-US" w:eastAsia="zh-CN" w:bidi="ar"/>
        </w:rPr>
        <w:t>1.申报主体与中山纪念图书馆联系，由中山纪念图书馆组织开展前期的实地勘察和退出初步评估。</w:t>
      </w:r>
    </w:p>
    <w:p w14:paraId="261C76FC">
      <w:pPr>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rightChars="0" w:firstLine="616" w:firstLineChars="200"/>
        <w:jc w:val="both"/>
        <w:textAlignment w:val="baseline"/>
        <w:outlineLvl w:val="0"/>
        <w:rPr>
          <w:rFonts w:hint="eastAsia" w:ascii="仿宋_GB2312" w:hAnsi="Arial" w:eastAsia="仿宋_GB2312" w:cs="仿宋_GB2312"/>
          <w:b w:val="0"/>
          <w:bCs w:val="0"/>
          <w:spacing w:val="-6"/>
          <w:kern w:val="0"/>
          <w:sz w:val="32"/>
          <w:szCs w:val="32"/>
          <w:highlight w:val="none"/>
          <w:vertAlign w:val="baseline"/>
        </w:rPr>
      </w:pPr>
      <w:r>
        <w:rPr>
          <w:rFonts w:hint="eastAsia" w:ascii="仿宋_GB2312" w:hAnsi="Arial" w:eastAsia="仿宋_GB2312" w:cs="仿宋_GB2312"/>
          <w:snapToGrid w:val="0"/>
          <w:color w:val="000000"/>
          <w:spacing w:val="-6"/>
          <w:kern w:val="0"/>
          <w:sz w:val="32"/>
          <w:szCs w:val="32"/>
          <w:highlight w:val="none"/>
          <w:vertAlign w:val="baseline"/>
          <w:lang w:val="en-US" w:eastAsia="zh-CN" w:bidi="ar"/>
        </w:rPr>
        <w:t>2.经评估符合退出条件的，申报主体应当向市文化广电旅游局提交加盖公章的正式申报材料。市文化广电旅游局经研究后</w:t>
      </w:r>
      <w:r>
        <w:rPr>
          <w:rFonts w:hint="eastAsia" w:ascii="仿宋_GB2312" w:hAnsi="Arial" w:eastAsia="仿宋_GB2312" w:cs="仿宋_GB2312"/>
          <w:b w:val="0"/>
          <w:bCs w:val="0"/>
          <w:snapToGrid w:val="0"/>
          <w:color w:val="000000"/>
          <w:spacing w:val="-6"/>
          <w:kern w:val="0"/>
          <w:sz w:val="32"/>
          <w:szCs w:val="32"/>
          <w:highlight w:val="none"/>
          <w:vertAlign w:val="baseline"/>
          <w:lang w:val="en-US" w:eastAsia="zh-CN" w:bidi="ar"/>
        </w:rPr>
        <w:t>，将有关意见书面通知申报主体。</w:t>
      </w:r>
    </w:p>
    <w:p w14:paraId="5706CE65">
      <w:pPr>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rightChars="0" w:firstLine="616" w:firstLineChars="200"/>
        <w:jc w:val="both"/>
        <w:textAlignment w:val="baseline"/>
        <w:outlineLvl w:val="0"/>
        <w:rPr>
          <w:rFonts w:hint="eastAsia" w:ascii="仿宋_GB2312" w:hAnsi="Arial" w:eastAsia="仿宋_GB2312" w:cs="仿宋_GB2312"/>
          <w:spacing w:val="-6"/>
          <w:kern w:val="0"/>
          <w:sz w:val="32"/>
          <w:szCs w:val="32"/>
          <w:highlight w:val="none"/>
          <w:vertAlign w:val="baseline"/>
        </w:rPr>
      </w:pPr>
      <w:r>
        <w:rPr>
          <w:rFonts w:hint="eastAsia" w:ascii="仿宋_GB2312" w:hAnsi="Arial" w:eastAsia="仿宋_GB2312" w:cs="仿宋_GB2312"/>
          <w:b w:val="0"/>
          <w:bCs w:val="0"/>
          <w:snapToGrid w:val="0"/>
          <w:color w:val="000000"/>
          <w:spacing w:val="-6"/>
          <w:kern w:val="0"/>
          <w:sz w:val="32"/>
          <w:szCs w:val="32"/>
          <w:highlight w:val="none"/>
          <w:vertAlign w:val="baseline"/>
          <w:lang w:val="en-US" w:eastAsia="zh-CN" w:bidi="ar"/>
        </w:rPr>
        <w:t>3.获准退出的项目，建设主体与</w:t>
      </w:r>
      <w:r>
        <w:rPr>
          <w:rFonts w:hint="eastAsia" w:ascii="仿宋_GB2312" w:hAnsi="Arial" w:eastAsia="仿宋_GB2312" w:cs="仿宋_GB2312"/>
          <w:b w:val="0"/>
          <w:bCs w:val="0"/>
          <w:snapToGrid w:val="0"/>
          <w:color w:val="000000"/>
          <w:spacing w:val="-6"/>
          <w:kern w:val="0"/>
          <w:sz w:val="32"/>
          <w:szCs w:val="32"/>
          <w:highlight w:val="none"/>
          <w:vertAlign w:val="baseline"/>
          <w:lang w:val="en-US" w:eastAsia="zh-CN" w:bidi="ar"/>
        </w:rPr>
        <w:t>运营</w:t>
      </w:r>
      <w:r>
        <w:rPr>
          <w:rFonts w:hint="eastAsia" w:ascii="仿宋_GB2312" w:hAnsi="Arial" w:eastAsia="仿宋_GB2312" w:cs="仿宋_GB2312"/>
          <w:b w:val="0"/>
          <w:bCs w:val="0"/>
          <w:snapToGrid w:val="0"/>
          <w:color w:val="000000"/>
          <w:spacing w:val="-6"/>
          <w:kern w:val="0"/>
          <w:sz w:val="32"/>
          <w:szCs w:val="32"/>
          <w:highlight w:val="none"/>
          <w:vertAlign w:val="baseline"/>
          <w:lang w:val="en-US" w:eastAsia="zh-CN" w:bidi="ar"/>
        </w:rPr>
        <w:t>主体</w:t>
      </w:r>
      <w:r>
        <w:rPr>
          <w:rFonts w:hint="eastAsia" w:ascii="仿宋_GB2312" w:hAnsi="Arial" w:eastAsia="仿宋_GB2312" w:cs="仿宋_GB2312"/>
          <w:snapToGrid w:val="0"/>
          <w:color w:val="000000"/>
          <w:spacing w:val="-6"/>
          <w:kern w:val="0"/>
          <w:sz w:val="32"/>
          <w:szCs w:val="32"/>
          <w:highlight w:val="none"/>
          <w:vertAlign w:val="baseline"/>
          <w:lang w:val="en-US" w:eastAsia="zh-CN" w:bidi="ar"/>
        </w:rPr>
        <w:t>应当在中山纪念图书馆与属地镇街文化主管部门的监督指导下，完成空间清理、资产处置、公示公告等善后工作。</w:t>
      </w:r>
    </w:p>
    <w:p w14:paraId="39D8C53E">
      <w:pPr>
        <w:keepNext w:val="0"/>
        <w:keepLines w:val="0"/>
        <w:widowControl w:val="0"/>
        <w:suppressLineNumbers w:val="0"/>
        <w:kinsoku w:val="0"/>
        <w:autoSpaceDE w:val="0"/>
        <w:autoSpaceDN w:val="0"/>
        <w:adjustRightInd w:val="0"/>
        <w:snapToGrid w:val="0"/>
        <w:spacing w:before="0" w:beforeAutospacing="0" w:after="0" w:afterAutospacing="0" w:line="574" w:lineRule="exact"/>
        <w:ind w:left="630" w:right="0" w:rightChars="0" w:firstLine="0" w:firstLineChars="0"/>
        <w:jc w:val="both"/>
        <w:textAlignment w:val="baseline"/>
        <w:outlineLvl w:val="0"/>
        <w:rPr>
          <w:rFonts w:hint="eastAsia" w:ascii="仿宋_GB2312" w:hAnsi="Arial" w:eastAsia="仿宋_GB2312" w:cs="仿宋_GB2312"/>
          <w:spacing w:val="-6"/>
          <w:kern w:val="0"/>
          <w:sz w:val="32"/>
          <w:szCs w:val="32"/>
          <w:highlight w:val="none"/>
          <w:vertAlign w:val="baseline"/>
        </w:rPr>
      </w:pPr>
      <w:r>
        <w:rPr>
          <w:rFonts w:hint="eastAsia" w:ascii="仿宋_GB2312" w:hAnsi="Arial" w:eastAsia="仿宋_GB2312" w:cs="仿宋_GB2312"/>
          <w:snapToGrid w:val="0"/>
          <w:color w:val="000000"/>
          <w:spacing w:val="-6"/>
          <w:kern w:val="0"/>
          <w:sz w:val="32"/>
          <w:szCs w:val="32"/>
          <w:highlight w:val="none"/>
          <w:vertAlign w:val="baseline"/>
          <w:lang w:val="en-US" w:eastAsia="zh-CN" w:bidi="ar"/>
        </w:rPr>
        <w:t>（三）申报材料</w:t>
      </w:r>
    </w:p>
    <w:p w14:paraId="27303F74">
      <w:pPr>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rightChars="0" w:firstLine="616" w:firstLineChars="200"/>
        <w:jc w:val="both"/>
        <w:textAlignment w:val="baseline"/>
        <w:outlineLvl w:val="0"/>
        <w:rPr>
          <w:rFonts w:hint="eastAsia" w:ascii="仿宋_GB2312" w:hAnsi="Arial" w:eastAsia="仿宋_GB2312" w:cs="仿宋_GB2312"/>
          <w:spacing w:val="-6"/>
          <w:kern w:val="0"/>
          <w:sz w:val="32"/>
          <w:szCs w:val="32"/>
          <w:highlight w:val="none"/>
          <w:vertAlign w:val="baseline"/>
        </w:rPr>
      </w:pPr>
      <w:r>
        <w:rPr>
          <w:rFonts w:hint="eastAsia" w:ascii="仿宋_GB2312" w:hAnsi="Arial" w:eastAsia="仿宋_GB2312" w:cs="仿宋_GB2312"/>
          <w:snapToGrid w:val="0"/>
          <w:color w:val="000000"/>
          <w:spacing w:val="-6"/>
          <w:kern w:val="0"/>
          <w:sz w:val="32"/>
          <w:szCs w:val="32"/>
          <w:highlight w:val="none"/>
          <w:vertAlign w:val="baseline"/>
          <w:lang w:val="en-US" w:eastAsia="zh-CN" w:bidi="ar"/>
        </w:rPr>
        <w:t>1.按要求填写的《中山市“香山书房”退出申请书》（见附件3）。</w:t>
      </w:r>
    </w:p>
    <w:p w14:paraId="2071B7C9">
      <w:pPr>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rightChars="0" w:firstLine="616" w:firstLineChars="200"/>
        <w:jc w:val="both"/>
        <w:textAlignment w:val="baseline"/>
        <w:outlineLvl w:val="0"/>
        <w:rPr>
          <w:rFonts w:hint="eastAsia" w:ascii="仿宋_GB2312" w:hAnsi="Arial" w:eastAsia="仿宋_GB2312" w:cs="仿宋_GB2312"/>
          <w:spacing w:val="-6"/>
          <w:kern w:val="0"/>
          <w:sz w:val="32"/>
          <w:szCs w:val="32"/>
          <w:highlight w:val="none"/>
          <w:vertAlign w:val="baseline"/>
        </w:rPr>
      </w:pPr>
      <w:r>
        <w:rPr>
          <w:rFonts w:hint="eastAsia" w:ascii="仿宋_GB2312" w:hAnsi="Arial" w:eastAsia="仿宋_GB2312" w:cs="仿宋_GB2312"/>
          <w:snapToGrid w:val="0"/>
          <w:color w:val="000000"/>
          <w:spacing w:val="-6"/>
          <w:kern w:val="0"/>
          <w:sz w:val="32"/>
          <w:szCs w:val="32"/>
          <w:highlight w:val="none"/>
          <w:vertAlign w:val="baseline"/>
          <w:lang w:val="en-US" w:eastAsia="zh-CN" w:bidi="ar"/>
        </w:rPr>
        <w:t>2.退出事由、依据说明以及善后工作方案等相关材料。</w:t>
      </w:r>
    </w:p>
    <w:p w14:paraId="6ABACEE9">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firstLine="616" w:firstLineChars="200"/>
        <w:jc w:val="both"/>
        <w:textAlignment w:val="baseline"/>
        <w:rPr>
          <w:rFonts w:hint="eastAsia" w:ascii="仿宋_GB2312" w:hAnsi="Times New Roman" w:eastAsia="仿宋_GB2312" w:cs="仿宋_GB2312"/>
          <w:color w:val="000000"/>
          <w:spacing w:val="-6"/>
          <w:kern w:val="0"/>
          <w:sz w:val="32"/>
          <w:szCs w:val="32"/>
          <w:highlight w:val="none"/>
          <w:vertAlign w:val="baseline"/>
        </w:rPr>
      </w:pPr>
      <w:r>
        <w:rPr>
          <w:rFonts w:hint="eastAsia" w:ascii="仿宋_GB2312" w:hAnsi="Times New Roman" w:eastAsia="仿宋_GB2312" w:cs="仿宋_GB2312"/>
          <w:color w:val="000000"/>
          <w:spacing w:val="-6"/>
          <w:kern w:val="0"/>
          <w:sz w:val="32"/>
          <w:szCs w:val="32"/>
          <w:highlight w:val="none"/>
          <w:vertAlign w:val="baseline"/>
          <w:lang w:val="en-US" w:eastAsia="zh-CN" w:bidi="ar"/>
        </w:rPr>
        <w:t>3.市文化广电旅游局要求的其他补充材料。</w:t>
      </w:r>
    </w:p>
    <w:p w14:paraId="461A7739">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firstLine="616" w:firstLineChars="200"/>
        <w:jc w:val="both"/>
        <w:textAlignment w:val="baseline"/>
        <w:rPr>
          <w:rFonts w:hint="eastAsia" w:ascii="仿宋_GB2312" w:hAnsi="Times New Roman" w:eastAsia="仿宋_GB2312" w:cs="仿宋_GB2312"/>
          <w:color w:val="000000"/>
          <w:spacing w:val="-6"/>
          <w:kern w:val="0"/>
          <w:sz w:val="32"/>
          <w:szCs w:val="32"/>
          <w:highlight w:val="none"/>
          <w:vertAlign w:val="baseline"/>
        </w:rPr>
      </w:pPr>
      <w:r>
        <w:rPr>
          <w:rFonts w:hint="eastAsia" w:ascii="楷体" w:hAnsi="楷体" w:eastAsia="楷体" w:cs="楷体"/>
          <w:color w:val="000000"/>
          <w:spacing w:val="-6"/>
          <w:kern w:val="0"/>
          <w:sz w:val="32"/>
          <w:szCs w:val="32"/>
          <w:highlight w:val="none"/>
          <w:vertAlign w:val="baseline"/>
          <w:lang w:val="en-US" w:eastAsia="zh-CN" w:bidi="ar"/>
        </w:rPr>
        <w:t xml:space="preserve">第十九条  </w:t>
      </w:r>
      <w:r>
        <w:rPr>
          <w:rFonts w:hint="eastAsia" w:ascii="仿宋_GB2312" w:hAnsi="Times New Roman" w:eastAsia="仿宋_GB2312" w:cs="仿宋_GB2312"/>
          <w:color w:val="000000"/>
          <w:spacing w:val="-6"/>
          <w:kern w:val="0"/>
          <w:sz w:val="32"/>
          <w:szCs w:val="32"/>
          <w:highlight w:val="none"/>
          <w:vertAlign w:val="baseline"/>
          <w:lang w:val="en-US" w:eastAsia="zh-CN" w:bidi="ar"/>
        </w:rPr>
        <w:t>其他需要报备的情形</w:t>
      </w:r>
    </w:p>
    <w:p w14:paraId="2988BADA">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firstLine="616" w:firstLineChars="200"/>
        <w:jc w:val="both"/>
        <w:textAlignment w:val="baseline"/>
        <w:rPr>
          <w:rFonts w:hint="eastAsia" w:ascii="仿宋_GB2312" w:hAnsi="Times New Roman" w:eastAsia="仿宋_GB2312" w:cs="仿宋_GB2312"/>
          <w:color w:val="000000"/>
          <w:spacing w:val="-6"/>
          <w:kern w:val="0"/>
          <w:sz w:val="32"/>
          <w:szCs w:val="32"/>
          <w:highlight w:val="none"/>
          <w:vertAlign w:val="baseline"/>
        </w:rPr>
      </w:pPr>
      <w:r>
        <w:rPr>
          <w:rFonts w:hint="eastAsia" w:ascii="仿宋_GB2312" w:hAnsi="Times New Roman" w:eastAsia="仿宋_GB2312" w:cs="仿宋_GB2312"/>
          <w:color w:val="000000"/>
          <w:spacing w:val="-6"/>
          <w:kern w:val="0"/>
          <w:sz w:val="32"/>
          <w:szCs w:val="32"/>
          <w:highlight w:val="none"/>
          <w:vertAlign w:val="baseline"/>
          <w:lang w:val="en-US" w:eastAsia="zh-CN" w:bidi="ar"/>
        </w:rPr>
        <w:t>发生场馆大规模装修改造、运营主体变更，及其他需要报备的情形，应及时向属地镇街文化主管部门书面报告，由属地镇街文化主管部门向中山纪念图书馆备案</w:t>
      </w:r>
      <w:r>
        <w:rPr>
          <w:rFonts w:hint="eastAsia" w:ascii="仿宋_GB2312" w:hAnsi="Arial" w:eastAsia="仿宋_GB2312" w:cs="仿宋_GB2312"/>
          <w:color w:val="000000"/>
          <w:spacing w:val="-6"/>
          <w:kern w:val="0"/>
          <w:sz w:val="32"/>
          <w:szCs w:val="32"/>
          <w:highlight w:val="none"/>
          <w:vertAlign w:val="baseline"/>
          <w:lang w:val="en-US" w:eastAsia="zh-CN" w:bidi="ar"/>
        </w:rPr>
        <w:t>。</w:t>
      </w:r>
    </w:p>
    <w:p w14:paraId="0CE6D15A">
      <w:pPr>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firstLine="0" w:firstLineChars="0"/>
        <w:jc w:val="center"/>
        <w:textAlignment w:val="baseline"/>
        <w:outlineLvl w:val="0"/>
        <w:rPr>
          <w:rFonts w:hint="eastAsia" w:ascii="仿宋_GB2312" w:hAnsi="Arial" w:eastAsia="仿宋_GB2312" w:cs="仿宋_GB2312"/>
          <w:spacing w:val="-6"/>
          <w:kern w:val="0"/>
          <w:sz w:val="32"/>
          <w:szCs w:val="32"/>
          <w:highlight w:val="none"/>
          <w:vertAlign w:val="baseline"/>
        </w:rPr>
      </w:pPr>
      <w:r>
        <w:rPr>
          <w:rFonts w:hint="eastAsia" w:ascii="黑体" w:hAnsi="宋体" w:eastAsia="黑体" w:cs="黑体"/>
          <w:b w:val="0"/>
          <w:bCs w:val="0"/>
          <w:snapToGrid w:val="0"/>
          <w:color w:val="000000"/>
          <w:spacing w:val="-6"/>
          <w:kern w:val="0"/>
          <w:sz w:val="32"/>
          <w:szCs w:val="32"/>
          <w:highlight w:val="none"/>
          <w:vertAlign w:val="baseline"/>
          <w:lang w:val="en-US" w:eastAsia="zh-CN" w:bidi="ar"/>
        </w:rPr>
        <w:t>第六章 附 则</w:t>
      </w:r>
    </w:p>
    <w:p w14:paraId="0F5FB4E1">
      <w:pPr>
        <w:pStyle w:val="6"/>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firstLine="616" w:firstLineChars="200"/>
        <w:jc w:val="both"/>
        <w:textAlignment w:val="baseline"/>
        <w:rPr>
          <w:rFonts w:hint="eastAsia" w:ascii="仿宋_GB2312" w:hAnsi="Arial" w:eastAsia="仿宋_GB2312" w:cs="仿宋_GB2312"/>
          <w:color w:val="000000"/>
          <w:spacing w:val="-6"/>
          <w:kern w:val="0"/>
          <w:sz w:val="32"/>
          <w:szCs w:val="32"/>
          <w:highlight w:val="none"/>
          <w:vertAlign w:val="baseline"/>
        </w:rPr>
      </w:pPr>
      <w:r>
        <w:rPr>
          <w:rFonts w:hint="eastAsia" w:ascii="楷体" w:hAnsi="楷体" w:eastAsia="楷体" w:cs="楷体"/>
          <w:color w:val="000000"/>
          <w:spacing w:val="-6"/>
          <w:kern w:val="0"/>
          <w:sz w:val="32"/>
          <w:szCs w:val="32"/>
          <w:highlight w:val="none"/>
          <w:vertAlign w:val="baseline"/>
          <w:lang w:val="en-US" w:eastAsia="zh-CN" w:bidi="ar"/>
        </w:rPr>
        <w:t xml:space="preserve">第二十条 </w:t>
      </w:r>
      <w:r>
        <w:rPr>
          <w:rFonts w:hint="eastAsia" w:ascii="仿宋_GB2312" w:hAnsi="仿宋" w:eastAsia="仿宋_GB2312" w:cs="仿宋_GB2312"/>
          <w:color w:val="000000"/>
          <w:spacing w:val="-6"/>
          <w:kern w:val="0"/>
          <w:sz w:val="32"/>
          <w:szCs w:val="32"/>
          <w:highlight w:val="none"/>
          <w:vertAlign w:val="baseline"/>
          <w:lang w:val="en-US" w:eastAsia="zh-CN" w:bidi="ar"/>
        </w:rPr>
        <w:t>本指引由中山市文化广电旅游局负责解释。</w:t>
      </w:r>
    </w:p>
    <w:p w14:paraId="06C4EBF6">
      <w:pPr>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firstLine="616" w:firstLineChars="200"/>
        <w:jc w:val="both"/>
        <w:textAlignment w:val="baseline"/>
        <w:rPr>
          <w:rFonts w:hint="default" w:ascii="Arial" w:hAnsi="Arial" w:eastAsia="宋体" w:cs="Arial"/>
          <w:spacing w:val="-6"/>
          <w:kern w:val="0"/>
          <w:sz w:val="21"/>
          <w:szCs w:val="21"/>
          <w:highlight w:val="none"/>
          <w:vertAlign w:val="baseline"/>
        </w:rPr>
      </w:pPr>
      <w:r>
        <w:rPr>
          <w:rFonts w:hint="eastAsia" w:ascii="楷体" w:hAnsi="楷体" w:eastAsia="楷体" w:cs="楷体"/>
          <w:snapToGrid w:val="0"/>
          <w:color w:val="000000"/>
          <w:spacing w:val="-6"/>
          <w:kern w:val="0"/>
          <w:sz w:val="32"/>
          <w:szCs w:val="32"/>
          <w:highlight w:val="none"/>
          <w:vertAlign w:val="baseline"/>
          <w:lang w:val="en-US" w:eastAsia="zh-CN" w:bidi="ar"/>
        </w:rPr>
        <w:t xml:space="preserve">第二十一条 </w:t>
      </w:r>
      <w:r>
        <w:rPr>
          <w:rFonts w:hint="eastAsia" w:ascii="仿宋_GB2312" w:hAnsi="Arial" w:eastAsia="仿宋_GB2312" w:cs="仿宋_GB2312"/>
          <w:snapToGrid w:val="0"/>
          <w:color w:val="000000"/>
          <w:spacing w:val="-6"/>
          <w:kern w:val="0"/>
          <w:sz w:val="32"/>
          <w:szCs w:val="32"/>
          <w:highlight w:val="none"/>
          <w:vertAlign w:val="baseline"/>
          <w:lang w:val="en-US" w:eastAsia="zh-CN" w:bidi="ar"/>
        </w:rPr>
        <w:t>本指引自发布之日起实施，有效期5年。</w:t>
      </w:r>
    </w:p>
    <w:p w14:paraId="08D78DE1">
      <w:pPr>
        <w:keepNext w:val="0"/>
        <w:keepLines w:val="0"/>
        <w:widowControl w:val="0"/>
        <w:suppressLineNumbers w:val="0"/>
        <w:kinsoku w:val="0"/>
        <w:autoSpaceDE w:val="0"/>
        <w:autoSpaceDN w:val="0"/>
        <w:adjustRightInd w:val="0"/>
        <w:snapToGrid w:val="0"/>
        <w:spacing w:before="0" w:beforeAutospacing="0" w:after="0" w:afterAutospacing="0" w:line="574" w:lineRule="exact"/>
        <w:ind w:left="0" w:right="0" w:firstLine="396" w:firstLineChars="200"/>
        <w:jc w:val="both"/>
        <w:textAlignment w:val="baseline"/>
        <w:rPr>
          <w:color w:val="auto"/>
          <w:spacing w:val="-6"/>
          <w:highlight w:val="none"/>
        </w:rPr>
      </w:pPr>
    </w:p>
    <w:sectPr>
      <w:footerReference r:id="rId5" w:type="default"/>
      <w:pgSz w:w="11906" w:h="16838"/>
      <w:pgMar w:top="2098" w:right="1587" w:bottom="2098" w:left="1587" w:header="1587" w:footer="1701" w:gutter="0"/>
      <w:pgNumType w:fmt="numberInDash"/>
      <w:cols w:space="425"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C87B0">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836645">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A836645">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817117"/>
    <w:multiLevelType w:val="multilevel"/>
    <w:tmpl w:val="53817117"/>
    <w:lvl w:ilvl="0" w:tentative="0">
      <w:start w:val="1"/>
      <w:numFmt w:val="decimal"/>
      <w:suff w:val="nothing"/>
      <w:lvlText w:val="%1　"/>
      <w:lvlJc w:val="left"/>
      <w:pPr>
        <w:ind w:left="0" w:leftChars="0" w:firstLine="0" w:firstLineChars="0"/>
      </w:pPr>
      <w:rPr>
        <w:rFonts w:hint="default" w:ascii="黑体" w:hAnsi="黑体" w:eastAsia="黑体" w:cs="黑体"/>
        <w:sz w:val="20"/>
      </w:rPr>
    </w:lvl>
    <w:lvl w:ilvl="1" w:tentative="0">
      <w:start w:val="1"/>
      <w:numFmt w:val="decimal"/>
      <w:suff w:val="nothing"/>
      <w:lvlText w:val="%1.%2　"/>
      <w:lvlJc w:val="left"/>
      <w:pPr>
        <w:ind w:left="0" w:leftChars="0" w:firstLine="0" w:firstLineChars="0"/>
      </w:pPr>
      <w:rPr>
        <w:rFonts w:hint="default" w:ascii="黑体" w:hAnsi="黑体" w:eastAsia="黑体" w:cs="黑体"/>
        <w:sz w:val="20"/>
      </w:rPr>
    </w:lvl>
    <w:lvl w:ilvl="2" w:tentative="0">
      <w:start w:val="1"/>
      <w:numFmt w:val="decimal"/>
      <w:pStyle w:val="11"/>
      <w:suff w:val="nothing"/>
      <w:lvlText w:val="%1.%2.%3　"/>
      <w:lvlJc w:val="left"/>
      <w:pPr>
        <w:ind w:left="0" w:leftChars="0" w:firstLine="0" w:firstLineChars="0"/>
      </w:pPr>
      <w:rPr>
        <w:rFonts w:hint="default" w:ascii="黑体" w:hAnsi="黑体" w:eastAsia="黑体" w:cs="黑体"/>
        <w:sz w:val="20"/>
      </w:rPr>
    </w:lvl>
    <w:lvl w:ilvl="3" w:tentative="0">
      <w:start w:val="1"/>
      <w:numFmt w:val="decimal"/>
      <w:suff w:val="nothing"/>
      <w:lvlText w:val="%1.%2.%3.%4　"/>
      <w:lvlJc w:val="left"/>
      <w:pPr>
        <w:ind w:left="0" w:leftChars="0" w:firstLine="0" w:firstLineChars="0"/>
      </w:pPr>
      <w:rPr>
        <w:rFonts w:hint="default" w:ascii="黑体" w:hAnsi="黑体" w:eastAsia="黑体" w:cs="黑体"/>
        <w:sz w:val="20"/>
      </w:rPr>
    </w:lvl>
    <w:lvl w:ilvl="4" w:tentative="0">
      <w:start w:val="1"/>
      <w:numFmt w:val="decimal"/>
      <w:suff w:val="nothing"/>
      <w:lvlText w:val="%1.%2.%3.%4.%5　"/>
      <w:lvlJc w:val="left"/>
      <w:pPr>
        <w:ind w:left="0" w:leftChars="0" w:firstLine="0" w:firstLineChars="0"/>
      </w:pPr>
      <w:rPr>
        <w:rFonts w:hint="default" w:ascii="黑体" w:hAnsi="黑体" w:eastAsia="黑体" w:cs="黑体"/>
        <w:sz w:val="20"/>
      </w:rPr>
    </w:lvl>
    <w:lvl w:ilvl="5" w:tentative="0">
      <w:start w:val="1"/>
      <w:numFmt w:val="decimal"/>
      <w:suff w:val="nothing"/>
      <w:lvlText w:val="%1.%2.%3.%4.%5.%6　"/>
      <w:lvlJc w:val="left"/>
      <w:pPr>
        <w:ind w:left="0" w:leftChars="0" w:firstLine="0" w:firstLineChars="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DB043F"/>
    <w:rsid w:val="00197CB8"/>
    <w:rsid w:val="00264DCF"/>
    <w:rsid w:val="004408DF"/>
    <w:rsid w:val="008F0F7B"/>
    <w:rsid w:val="00921F00"/>
    <w:rsid w:val="015D20F7"/>
    <w:rsid w:val="02231391"/>
    <w:rsid w:val="0265787C"/>
    <w:rsid w:val="02AF690D"/>
    <w:rsid w:val="02B66382"/>
    <w:rsid w:val="02C43119"/>
    <w:rsid w:val="02D149AD"/>
    <w:rsid w:val="032234B3"/>
    <w:rsid w:val="03551AB9"/>
    <w:rsid w:val="03734DA4"/>
    <w:rsid w:val="044F2C20"/>
    <w:rsid w:val="04BC79D1"/>
    <w:rsid w:val="05313213"/>
    <w:rsid w:val="053E2528"/>
    <w:rsid w:val="054908B9"/>
    <w:rsid w:val="055C1AD8"/>
    <w:rsid w:val="05EF6AC9"/>
    <w:rsid w:val="062D7C32"/>
    <w:rsid w:val="064C4C64"/>
    <w:rsid w:val="065B5CF5"/>
    <w:rsid w:val="06983A5E"/>
    <w:rsid w:val="06CF109B"/>
    <w:rsid w:val="06D03FC1"/>
    <w:rsid w:val="077217B4"/>
    <w:rsid w:val="081E2961"/>
    <w:rsid w:val="085E5949"/>
    <w:rsid w:val="088D6498"/>
    <w:rsid w:val="092A53AB"/>
    <w:rsid w:val="095C7B63"/>
    <w:rsid w:val="097B701A"/>
    <w:rsid w:val="09C63C16"/>
    <w:rsid w:val="09CA5EA0"/>
    <w:rsid w:val="09E9764E"/>
    <w:rsid w:val="0A336573"/>
    <w:rsid w:val="0A4B76F2"/>
    <w:rsid w:val="0A7C3745"/>
    <w:rsid w:val="0A887557"/>
    <w:rsid w:val="0B044923"/>
    <w:rsid w:val="0B187D40"/>
    <w:rsid w:val="0BEFBD61"/>
    <w:rsid w:val="0CBD16F5"/>
    <w:rsid w:val="0D5279EB"/>
    <w:rsid w:val="0D5663F1"/>
    <w:rsid w:val="0D814CB6"/>
    <w:rsid w:val="0D883C4C"/>
    <w:rsid w:val="0D8D654B"/>
    <w:rsid w:val="0D8E0749"/>
    <w:rsid w:val="0D9B51F1"/>
    <w:rsid w:val="0E2E60D4"/>
    <w:rsid w:val="0E727929"/>
    <w:rsid w:val="0EA53794"/>
    <w:rsid w:val="0EE428AF"/>
    <w:rsid w:val="0F1A3753"/>
    <w:rsid w:val="0F1F345E"/>
    <w:rsid w:val="0F9954C0"/>
    <w:rsid w:val="0FC5746F"/>
    <w:rsid w:val="0FFC1B47"/>
    <w:rsid w:val="1005593B"/>
    <w:rsid w:val="102809EE"/>
    <w:rsid w:val="10352FA6"/>
    <w:rsid w:val="103D25B1"/>
    <w:rsid w:val="10997447"/>
    <w:rsid w:val="10EB7251"/>
    <w:rsid w:val="10F26BDC"/>
    <w:rsid w:val="116D386B"/>
    <w:rsid w:val="133C549C"/>
    <w:rsid w:val="136021D9"/>
    <w:rsid w:val="13A670CA"/>
    <w:rsid w:val="13F24693"/>
    <w:rsid w:val="14231F17"/>
    <w:rsid w:val="144968D3"/>
    <w:rsid w:val="145539EB"/>
    <w:rsid w:val="14A93475"/>
    <w:rsid w:val="14B66F07"/>
    <w:rsid w:val="14D577BC"/>
    <w:rsid w:val="15517106"/>
    <w:rsid w:val="15612C23"/>
    <w:rsid w:val="158540DD"/>
    <w:rsid w:val="15F3690F"/>
    <w:rsid w:val="162D4793"/>
    <w:rsid w:val="167E42F4"/>
    <w:rsid w:val="1683077C"/>
    <w:rsid w:val="16E830BA"/>
    <w:rsid w:val="16F5338F"/>
    <w:rsid w:val="17581A59"/>
    <w:rsid w:val="175C0250"/>
    <w:rsid w:val="182127A7"/>
    <w:rsid w:val="189E7B72"/>
    <w:rsid w:val="18F44CFE"/>
    <w:rsid w:val="190C5C28"/>
    <w:rsid w:val="19954887"/>
    <w:rsid w:val="19A44EA1"/>
    <w:rsid w:val="19E36B84"/>
    <w:rsid w:val="1A092647"/>
    <w:rsid w:val="1A2A6DB9"/>
    <w:rsid w:val="1AB4284A"/>
    <w:rsid w:val="1B1E08A6"/>
    <w:rsid w:val="1B8056AC"/>
    <w:rsid w:val="1BBA678A"/>
    <w:rsid w:val="1BBC5511"/>
    <w:rsid w:val="1C1945A6"/>
    <w:rsid w:val="1CAF144D"/>
    <w:rsid w:val="1D051E42"/>
    <w:rsid w:val="1D6332C3"/>
    <w:rsid w:val="1F173C0E"/>
    <w:rsid w:val="1F695F97"/>
    <w:rsid w:val="1F8B0898"/>
    <w:rsid w:val="1FFA95A9"/>
    <w:rsid w:val="20062CE3"/>
    <w:rsid w:val="20791657"/>
    <w:rsid w:val="209F6013"/>
    <w:rsid w:val="20E60986"/>
    <w:rsid w:val="21372D0F"/>
    <w:rsid w:val="219552A7"/>
    <w:rsid w:val="21E7182E"/>
    <w:rsid w:val="222D1941"/>
    <w:rsid w:val="22906CA7"/>
    <w:rsid w:val="22B1477A"/>
    <w:rsid w:val="22E22D4A"/>
    <w:rsid w:val="238A37F2"/>
    <w:rsid w:val="24B66377"/>
    <w:rsid w:val="251364E2"/>
    <w:rsid w:val="25334819"/>
    <w:rsid w:val="258D2929"/>
    <w:rsid w:val="263356E2"/>
    <w:rsid w:val="26FA2AFF"/>
    <w:rsid w:val="273242DE"/>
    <w:rsid w:val="27547D16"/>
    <w:rsid w:val="275C189F"/>
    <w:rsid w:val="276414CA"/>
    <w:rsid w:val="28060C67"/>
    <w:rsid w:val="28287CEE"/>
    <w:rsid w:val="286D07E3"/>
    <w:rsid w:val="288459EB"/>
    <w:rsid w:val="289F6A33"/>
    <w:rsid w:val="28DD50CE"/>
    <w:rsid w:val="290441D9"/>
    <w:rsid w:val="2A8433D1"/>
    <w:rsid w:val="2B28065B"/>
    <w:rsid w:val="2B365FF8"/>
    <w:rsid w:val="2B700A50"/>
    <w:rsid w:val="2B916D8B"/>
    <w:rsid w:val="2B9F159F"/>
    <w:rsid w:val="2BA45A27"/>
    <w:rsid w:val="2BDFEBB3"/>
    <w:rsid w:val="2D045C82"/>
    <w:rsid w:val="2D223C99"/>
    <w:rsid w:val="2DC35A21"/>
    <w:rsid w:val="2E3B6964"/>
    <w:rsid w:val="2ECA65D4"/>
    <w:rsid w:val="2EDE5274"/>
    <w:rsid w:val="2EDF7472"/>
    <w:rsid w:val="2EF65C2A"/>
    <w:rsid w:val="2F3ECDC2"/>
    <w:rsid w:val="2F4E0DAB"/>
    <w:rsid w:val="2FC873F0"/>
    <w:rsid w:val="2FED3364"/>
    <w:rsid w:val="2FF5930A"/>
    <w:rsid w:val="2FFF3877"/>
    <w:rsid w:val="302C2998"/>
    <w:rsid w:val="30642AF1"/>
    <w:rsid w:val="31175C10"/>
    <w:rsid w:val="3125512E"/>
    <w:rsid w:val="313E0256"/>
    <w:rsid w:val="31576CC8"/>
    <w:rsid w:val="31777136"/>
    <w:rsid w:val="31A04A78"/>
    <w:rsid w:val="31A27F7B"/>
    <w:rsid w:val="32936D2D"/>
    <w:rsid w:val="32AC6FDC"/>
    <w:rsid w:val="339E233F"/>
    <w:rsid w:val="33DEA293"/>
    <w:rsid w:val="34022063"/>
    <w:rsid w:val="3437508E"/>
    <w:rsid w:val="34774220"/>
    <w:rsid w:val="35AD209F"/>
    <w:rsid w:val="35B81BCE"/>
    <w:rsid w:val="36756265"/>
    <w:rsid w:val="375955DE"/>
    <w:rsid w:val="37604F68"/>
    <w:rsid w:val="3787931B"/>
    <w:rsid w:val="381E0AEB"/>
    <w:rsid w:val="383C5DD6"/>
    <w:rsid w:val="386E4E5E"/>
    <w:rsid w:val="387C500F"/>
    <w:rsid w:val="38F73D85"/>
    <w:rsid w:val="39B905C0"/>
    <w:rsid w:val="3A57C117"/>
    <w:rsid w:val="3AF01941"/>
    <w:rsid w:val="3B5E18C6"/>
    <w:rsid w:val="3B77509E"/>
    <w:rsid w:val="3C566C8A"/>
    <w:rsid w:val="3C981FFA"/>
    <w:rsid w:val="3C9B197D"/>
    <w:rsid w:val="3CBFF81F"/>
    <w:rsid w:val="3CD5085D"/>
    <w:rsid w:val="3D6D6452"/>
    <w:rsid w:val="3D941B95"/>
    <w:rsid w:val="3DC4660D"/>
    <w:rsid w:val="3DE06791"/>
    <w:rsid w:val="3EFF2701"/>
    <w:rsid w:val="3F011473"/>
    <w:rsid w:val="3F052CF0"/>
    <w:rsid w:val="3F4FD30C"/>
    <w:rsid w:val="3F5E49DA"/>
    <w:rsid w:val="3F6290E7"/>
    <w:rsid w:val="3F7272FA"/>
    <w:rsid w:val="3F777E5B"/>
    <w:rsid w:val="3F7C2933"/>
    <w:rsid w:val="3F981365"/>
    <w:rsid w:val="3FBFFECD"/>
    <w:rsid w:val="3FEE7039"/>
    <w:rsid w:val="3FF38E29"/>
    <w:rsid w:val="3FF657FA"/>
    <w:rsid w:val="3FFFAB9C"/>
    <w:rsid w:val="40173E32"/>
    <w:rsid w:val="40815A60"/>
    <w:rsid w:val="40BC5C45"/>
    <w:rsid w:val="419868AD"/>
    <w:rsid w:val="430125FC"/>
    <w:rsid w:val="43AE3A19"/>
    <w:rsid w:val="43BE6232"/>
    <w:rsid w:val="43DA7D60"/>
    <w:rsid w:val="445960B0"/>
    <w:rsid w:val="44D66CFF"/>
    <w:rsid w:val="44E55C94"/>
    <w:rsid w:val="450155C4"/>
    <w:rsid w:val="4597133B"/>
    <w:rsid w:val="45EB6847"/>
    <w:rsid w:val="465E7A7F"/>
    <w:rsid w:val="46C042A0"/>
    <w:rsid w:val="46D96AC6"/>
    <w:rsid w:val="46FD4105"/>
    <w:rsid w:val="47207686"/>
    <w:rsid w:val="47262D4B"/>
    <w:rsid w:val="479358FE"/>
    <w:rsid w:val="47B70FB5"/>
    <w:rsid w:val="47FEE634"/>
    <w:rsid w:val="481B3258"/>
    <w:rsid w:val="483031FD"/>
    <w:rsid w:val="48372B88"/>
    <w:rsid w:val="484C2B2E"/>
    <w:rsid w:val="484D587D"/>
    <w:rsid w:val="49375FAE"/>
    <w:rsid w:val="4956775D"/>
    <w:rsid w:val="495906E1"/>
    <w:rsid w:val="496D2C05"/>
    <w:rsid w:val="499E6C57"/>
    <w:rsid w:val="4A4B25F3"/>
    <w:rsid w:val="4ADB665F"/>
    <w:rsid w:val="4AFB1514"/>
    <w:rsid w:val="4BC61AE0"/>
    <w:rsid w:val="4CE15AB0"/>
    <w:rsid w:val="4DB6430B"/>
    <w:rsid w:val="4DCE1994"/>
    <w:rsid w:val="4DEA153F"/>
    <w:rsid w:val="4E1338A3"/>
    <w:rsid w:val="4E137126"/>
    <w:rsid w:val="4F075432"/>
    <w:rsid w:val="4F194455"/>
    <w:rsid w:val="4F234D65"/>
    <w:rsid w:val="4F2449E5"/>
    <w:rsid w:val="4F2B7BF3"/>
    <w:rsid w:val="4FD214B6"/>
    <w:rsid w:val="4FF64D3D"/>
    <w:rsid w:val="4FF705C0"/>
    <w:rsid w:val="5012466D"/>
    <w:rsid w:val="507719CC"/>
    <w:rsid w:val="50AC0FE9"/>
    <w:rsid w:val="50B96100"/>
    <w:rsid w:val="50DB043F"/>
    <w:rsid w:val="511C03A3"/>
    <w:rsid w:val="51855920"/>
    <w:rsid w:val="51EC7777"/>
    <w:rsid w:val="522378D0"/>
    <w:rsid w:val="536F1D83"/>
    <w:rsid w:val="53DF5896"/>
    <w:rsid w:val="53E0692D"/>
    <w:rsid w:val="53EF36C4"/>
    <w:rsid w:val="5524243C"/>
    <w:rsid w:val="55432CF1"/>
    <w:rsid w:val="557E569C"/>
    <w:rsid w:val="55E54A78"/>
    <w:rsid w:val="55EC1E85"/>
    <w:rsid w:val="56F350E1"/>
    <w:rsid w:val="57316C99"/>
    <w:rsid w:val="57BA4DA3"/>
    <w:rsid w:val="57BD2100"/>
    <w:rsid w:val="57DF5B08"/>
    <w:rsid w:val="585C4521"/>
    <w:rsid w:val="58777E3F"/>
    <w:rsid w:val="58801E3E"/>
    <w:rsid w:val="58B06210"/>
    <w:rsid w:val="58C1620F"/>
    <w:rsid w:val="591923BD"/>
    <w:rsid w:val="592B5B5A"/>
    <w:rsid w:val="594D5D0E"/>
    <w:rsid w:val="595953A4"/>
    <w:rsid w:val="598F587E"/>
    <w:rsid w:val="5ACD7484"/>
    <w:rsid w:val="5AD03C8C"/>
    <w:rsid w:val="5AF50ACF"/>
    <w:rsid w:val="5B140EFE"/>
    <w:rsid w:val="5B1A2E07"/>
    <w:rsid w:val="5B501C5C"/>
    <w:rsid w:val="5BE45D53"/>
    <w:rsid w:val="5C1D5290"/>
    <w:rsid w:val="5C753FBD"/>
    <w:rsid w:val="5C9238ED"/>
    <w:rsid w:val="5C967D75"/>
    <w:rsid w:val="5CB47325"/>
    <w:rsid w:val="5CDF5278"/>
    <w:rsid w:val="5CEB19FD"/>
    <w:rsid w:val="5DAD91E1"/>
    <w:rsid w:val="5DC60776"/>
    <w:rsid w:val="5DEFD30A"/>
    <w:rsid w:val="5DF94139"/>
    <w:rsid w:val="5E670A59"/>
    <w:rsid w:val="5EB62380"/>
    <w:rsid w:val="5EBCC7A3"/>
    <w:rsid w:val="5EDA7BF7"/>
    <w:rsid w:val="5EEF4069"/>
    <w:rsid w:val="5EF79164"/>
    <w:rsid w:val="5F971728"/>
    <w:rsid w:val="5FE13491"/>
    <w:rsid w:val="606C7440"/>
    <w:rsid w:val="60CD295D"/>
    <w:rsid w:val="60E94EDF"/>
    <w:rsid w:val="611C3D61"/>
    <w:rsid w:val="611D39E1"/>
    <w:rsid w:val="615F7CCE"/>
    <w:rsid w:val="61773E9F"/>
    <w:rsid w:val="61E202A7"/>
    <w:rsid w:val="62022D5A"/>
    <w:rsid w:val="621870FC"/>
    <w:rsid w:val="62631AFA"/>
    <w:rsid w:val="629145DB"/>
    <w:rsid w:val="62E358CB"/>
    <w:rsid w:val="633330CC"/>
    <w:rsid w:val="633D145D"/>
    <w:rsid w:val="634E046D"/>
    <w:rsid w:val="637B25C6"/>
    <w:rsid w:val="63845454"/>
    <w:rsid w:val="639343EA"/>
    <w:rsid w:val="63C119A0"/>
    <w:rsid w:val="63FD0990"/>
    <w:rsid w:val="650F29DD"/>
    <w:rsid w:val="651200DE"/>
    <w:rsid w:val="652D418B"/>
    <w:rsid w:val="65472B37"/>
    <w:rsid w:val="654D4A40"/>
    <w:rsid w:val="654E7F43"/>
    <w:rsid w:val="656D07F8"/>
    <w:rsid w:val="65B06CE3"/>
    <w:rsid w:val="65DB4E70"/>
    <w:rsid w:val="6641505D"/>
    <w:rsid w:val="66562CF4"/>
    <w:rsid w:val="665B137A"/>
    <w:rsid w:val="665D487D"/>
    <w:rsid w:val="665F7D80"/>
    <w:rsid w:val="66AE546D"/>
    <w:rsid w:val="67736C7F"/>
    <w:rsid w:val="677A5055"/>
    <w:rsid w:val="67DA506E"/>
    <w:rsid w:val="67E1286C"/>
    <w:rsid w:val="68AF1BCF"/>
    <w:rsid w:val="68B72C18"/>
    <w:rsid w:val="68D25E84"/>
    <w:rsid w:val="68ED16B3"/>
    <w:rsid w:val="68FA2C38"/>
    <w:rsid w:val="69731AF1"/>
    <w:rsid w:val="697F6A24"/>
    <w:rsid w:val="698C24B6"/>
    <w:rsid w:val="6A7719A4"/>
    <w:rsid w:val="6AAB290E"/>
    <w:rsid w:val="6B3F5380"/>
    <w:rsid w:val="6BAB02B2"/>
    <w:rsid w:val="6BD77E7D"/>
    <w:rsid w:val="6C812426"/>
    <w:rsid w:val="6CA94952"/>
    <w:rsid w:val="6CAE465D"/>
    <w:rsid w:val="6D4E0662"/>
    <w:rsid w:val="6DB5CA13"/>
    <w:rsid w:val="6DFBA1ED"/>
    <w:rsid w:val="6E294C9D"/>
    <w:rsid w:val="6E3B37C2"/>
    <w:rsid w:val="6E4F3D89"/>
    <w:rsid w:val="6E7A0843"/>
    <w:rsid w:val="6EA9571C"/>
    <w:rsid w:val="6ECF733A"/>
    <w:rsid w:val="6EF66D45"/>
    <w:rsid w:val="6F131E32"/>
    <w:rsid w:val="6F260569"/>
    <w:rsid w:val="6F3E8AFA"/>
    <w:rsid w:val="6F7637EB"/>
    <w:rsid w:val="6F7D6AB6"/>
    <w:rsid w:val="6FBF5BEE"/>
    <w:rsid w:val="6FDDFA7D"/>
    <w:rsid w:val="6FEF3E3A"/>
    <w:rsid w:val="6FF731AC"/>
    <w:rsid w:val="6FFC89A1"/>
    <w:rsid w:val="6FFF18FB"/>
    <w:rsid w:val="70547956"/>
    <w:rsid w:val="70A01FD4"/>
    <w:rsid w:val="71CA0BB8"/>
    <w:rsid w:val="72422A05"/>
    <w:rsid w:val="72723FF6"/>
    <w:rsid w:val="72A35F21"/>
    <w:rsid w:val="72D30C6F"/>
    <w:rsid w:val="736C11ED"/>
    <w:rsid w:val="737727B4"/>
    <w:rsid w:val="737D3B15"/>
    <w:rsid w:val="739048A5"/>
    <w:rsid w:val="739B2C36"/>
    <w:rsid w:val="73BD48AD"/>
    <w:rsid w:val="73F2DAB9"/>
    <w:rsid w:val="743B05C1"/>
    <w:rsid w:val="74C35F1C"/>
    <w:rsid w:val="753DCA06"/>
    <w:rsid w:val="753E6CB6"/>
    <w:rsid w:val="757131A5"/>
    <w:rsid w:val="75CFD73A"/>
    <w:rsid w:val="75F52E16"/>
    <w:rsid w:val="75F7BA22"/>
    <w:rsid w:val="75FB6CA2"/>
    <w:rsid w:val="76AC4B43"/>
    <w:rsid w:val="76FFE5F1"/>
    <w:rsid w:val="77047750"/>
    <w:rsid w:val="771C4DF6"/>
    <w:rsid w:val="779202B8"/>
    <w:rsid w:val="77A02E51"/>
    <w:rsid w:val="77D758BF"/>
    <w:rsid w:val="77DA18D9"/>
    <w:rsid w:val="77DE0738"/>
    <w:rsid w:val="77F34E5A"/>
    <w:rsid w:val="77F5A7EF"/>
    <w:rsid w:val="78586D7C"/>
    <w:rsid w:val="78B57116"/>
    <w:rsid w:val="78BF32A9"/>
    <w:rsid w:val="7908111E"/>
    <w:rsid w:val="795B139B"/>
    <w:rsid w:val="795E792F"/>
    <w:rsid w:val="796727BD"/>
    <w:rsid w:val="7983686A"/>
    <w:rsid w:val="7A1F66E8"/>
    <w:rsid w:val="7A263B8E"/>
    <w:rsid w:val="7A67F023"/>
    <w:rsid w:val="7ABA0AE5"/>
    <w:rsid w:val="7AE21CA9"/>
    <w:rsid w:val="7AE8B5B2"/>
    <w:rsid w:val="7B203254"/>
    <w:rsid w:val="7B4464CB"/>
    <w:rsid w:val="7B5F3FFC"/>
    <w:rsid w:val="7B7B8935"/>
    <w:rsid w:val="7BBC7701"/>
    <w:rsid w:val="7BE505D2"/>
    <w:rsid w:val="7BFDFE98"/>
    <w:rsid w:val="7C1C072C"/>
    <w:rsid w:val="7C6424A8"/>
    <w:rsid w:val="7C7DAF10"/>
    <w:rsid w:val="7CB793C8"/>
    <w:rsid w:val="7CD36BD6"/>
    <w:rsid w:val="7CF53DBA"/>
    <w:rsid w:val="7D0970B0"/>
    <w:rsid w:val="7D3A787F"/>
    <w:rsid w:val="7D7F5F18"/>
    <w:rsid w:val="7DBB4766"/>
    <w:rsid w:val="7DCB25C8"/>
    <w:rsid w:val="7DF47179"/>
    <w:rsid w:val="7E7FFCFE"/>
    <w:rsid w:val="7EC16401"/>
    <w:rsid w:val="7ECF5CB4"/>
    <w:rsid w:val="7EDB0844"/>
    <w:rsid w:val="7EE5313E"/>
    <w:rsid w:val="7EECD48D"/>
    <w:rsid w:val="7EFC9F80"/>
    <w:rsid w:val="7F15170F"/>
    <w:rsid w:val="7F17F6CC"/>
    <w:rsid w:val="7F34B9CF"/>
    <w:rsid w:val="7F579ACE"/>
    <w:rsid w:val="7F5BE8C1"/>
    <w:rsid w:val="7F6F008C"/>
    <w:rsid w:val="7F6F1FC6"/>
    <w:rsid w:val="7F7FB17A"/>
    <w:rsid w:val="7F9CA3F0"/>
    <w:rsid w:val="7FAB3681"/>
    <w:rsid w:val="7FBFF2C6"/>
    <w:rsid w:val="7FCEA89C"/>
    <w:rsid w:val="7FD065BE"/>
    <w:rsid w:val="7FDB63BC"/>
    <w:rsid w:val="7FDEE5FD"/>
    <w:rsid w:val="7FDFD3D0"/>
    <w:rsid w:val="7FE73AFF"/>
    <w:rsid w:val="7FF2E15A"/>
    <w:rsid w:val="7FF6B70C"/>
    <w:rsid w:val="7FF78690"/>
    <w:rsid w:val="7FF7CB1F"/>
    <w:rsid w:val="7FFB7E14"/>
    <w:rsid w:val="7FFC2419"/>
    <w:rsid w:val="7FFE27F6"/>
    <w:rsid w:val="7FFF1D2A"/>
    <w:rsid w:val="8767D9BA"/>
    <w:rsid w:val="8E7664A6"/>
    <w:rsid w:val="946F85A0"/>
    <w:rsid w:val="9783BA26"/>
    <w:rsid w:val="97EE6839"/>
    <w:rsid w:val="9CDF5AE3"/>
    <w:rsid w:val="9EFF04C8"/>
    <w:rsid w:val="9FCB17F4"/>
    <w:rsid w:val="9FD643AD"/>
    <w:rsid w:val="9FE71FD1"/>
    <w:rsid w:val="AB7E54D0"/>
    <w:rsid w:val="ADFABD35"/>
    <w:rsid w:val="AE75EB65"/>
    <w:rsid w:val="AFDD4286"/>
    <w:rsid w:val="B0FECD75"/>
    <w:rsid w:val="B2BB2F0C"/>
    <w:rsid w:val="B3FB65FD"/>
    <w:rsid w:val="B779D483"/>
    <w:rsid w:val="B77FD7DF"/>
    <w:rsid w:val="B93FC25A"/>
    <w:rsid w:val="BBAE37DE"/>
    <w:rsid w:val="BD5EC67F"/>
    <w:rsid w:val="BDF92F1E"/>
    <w:rsid w:val="BE7FD5A2"/>
    <w:rsid w:val="BFDC6CD3"/>
    <w:rsid w:val="BFFE2A8F"/>
    <w:rsid w:val="C7CDC793"/>
    <w:rsid w:val="CFF383BC"/>
    <w:rsid w:val="CFFA2986"/>
    <w:rsid w:val="D6FED289"/>
    <w:rsid w:val="D7FFA353"/>
    <w:rsid w:val="D97F071C"/>
    <w:rsid w:val="DB76333D"/>
    <w:rsid w:val="DCBF319F"/>
    <w:rsid w:val="DF4E8FFC"/>
    <w:rsid w:val="DFCE45ED"/>
    <w:rsid w:val="DFF124A5"/>
    <w:rsid w:val="E5F3C2D3"/>
    <w:rsid w:val="E733DEA5"/>
    <w:rsid w:val="EA6ED9D6"/>
    <w:rsid w:val="EB7F93F7"/>
    <w:rsid w:val="EBBF8027"/>
    <w:rsid w:val="EBFF4D78"/>
    <w:rsid w:val="EEE72B8A"/>
    <w:rsid w:val="EF5D0AFE"/>
    <w:rsid w:val="EFB1DFCC"/>
    <w:rsid w:val="EFCDBB7E"/>
    <w:rsid w:val="F2FBC9F8"/>
    <w:rsid w:val="F2FD1421"/>
    <w:rsid w:val="F4FF73D7"/>
    <w:rsid w:val="F5357ADD"/>
    <w:rsid w:val="F5F904CB"/>
    <w:rsid w:val="F77F0406"/>
    <w:rsid w:val="F77FC756"/>
    <w:rsid w:val="F7B7857E"/>
    <w:rsid w:val="F7EEB051"/>
    <w:rsid w:val="F7FBF872"/>
    <w:rsid w:val="F9B24018"/>
    <w:rsid w:val="F9BFB776"/>
    <w:rsid w:val="FABDB026"/>
    <w:rsid w:val="FBEE5A78"/>
    <w:rsid w:val="FBFF1CB4"/>
    <w:rsid w:val="FBFF2FC5"/>
    <w:rsid w:val="FBFF5A7C"/>
    <w:rsid w:val="FD3BF9F7"/>
    <w:rsid w:val="FD3D2F81"/>
    <w:rsid w:val="FDBBE2BE"/>
    <w:rsid w:val="FDE79C2D"/>
    <w:rsid w:val="FDFBEC38"/>
    <w:rsid w:val="FDFC0DD0"/>
    <w:rsid w:val="FDFDA259"/>
    <w:rsid w:val="FDFDD357"/>
    <w:rsid w:val="FE2D72E8"/>
    <w:rsid w:val="FE6D5038"/>
    <w:rsid w:val="FE75392D"/>
    <w:rsid w:val="FE9EFC23"/>
    <w:rsid w:val="FEDB68C0"/>
    <w:rsid w:val="FEE7CB46"/>
    <w:rsid w:val="FEF5F66C"/>
    <w:rsid w:val="FEFF2BF3"/>
    <w:rsid w:val="FEFFAB50"/>
    <w:rsid w:val="FF3C27AF"/>
    <w:rsid w:val="FF76E9B8"/>
    <w:rsid w:val="FF7D0766"/>
    <w:rsid w:val="FFB5403E"/>
    <w:rsid w:val="FFB69A65"/>
    <w:rsid w:val="FFC70607"/>
    <w:rsid w:val="FFDBE5E9"/>
    <w:rsid w:val="FFED6502"/>
    <w:rsid w:val="FFEF4577"/>
    <w:rsid w:val="FFEFA033"/>
    <w:rsid w:val="FFFBBD25"/>
    <w:rsid w:val="FFFF8E67"/>
    <w:rsid w:val="FFFFDDC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仿宋" w:hAnsi="仿宋" w:eastAsia="仿宋" w:cs="仿宋"/>
      <w:sz w:val="32"/>
      <w:szCs w:val="32"/>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标准文件_二级无标题"/>
    <w:basedOn w:val="11"/>
    <w:qFormat/>
    <w:uiPriority w:val="0"/>
    <w:pPr>
      <w:spacing w:before="4" w:beforeLines="1" w:after="4" w:afterLines="1"/>
      <w:outlineLvl w:val="9"/>
    </w:pPr>
    <w:rPr>
      <w:rFonts w:ascii="宋体" w:hAnsi="宋体" w:eastAsia="宋体" w:cs="宋体"/>
    </w:rPr>
  </w:style>
  <w:style w:type="paragraph" w:customStyle="1" w:styleId="11">
    <w:name w:val="标准文件_二级条标题"/>
    <w:next w:val="12"/>
    <w:qFormat/>
    <w:uiPriority w:val="0"/>
    <w:pPr>
      <w:numPr>
        <w:ilvl w:val="2"/>
        <w:numId w:val="1"/>
      </w:numPr>
      <w:suppressAutoHyphens w:val="0"/>
      <w:spacing w:before="157" w:beforeLines="50" w:after="157" w:afterLines="50"/>
      <w:jc w:val="both"/>
      <w:outlineLvl w:val="2"/>
    </w:pPr>
    <w:rPr>
      <w:rFonts w:hint="eastAsia" w:ascii="黑体" w:hAnsi="黑体" w:eastAsia="黑体" w:cs="黑体"/>
      <w:sz w:val="21"/>
    </w:rPr>
  </w:style>
  <w:style w:type="paragraph" w:customStyle="1" w:styleId="12">
    <w:name w:val="标准文件_段"/>
    <w:qFormat/>
    <w:uiPriority w:val="0"/>
    <w:pPr>
      <w:spacing w:beforeLines="0" w:afterLines="0"/>
      <w:ind w:firstLine="960" w:firstLineChars="200"/>
      <w:jc w:val="both"/>
    </w:pPr>
    <w:rPr>
      <w:rFonts w:hint="eastAsia" w:ascii="宋体" w:hAnsi="Times New Roman" w:eastAsia="宋体" w:cs="宋体"/>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中山市文化广电旅游局</Company>
  <Pages>10</Pages>
  <Words>0</Words>
  <Characters>0</Characters>
  <Lines>1</Lines>
  <Paragraphs>1</Paragraphs>
  <TotalTime>10</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2025-03-31T15:40:00Z</dcterms:created>
  <dc:creator>郭玉贞</dc:creator>
  <cp:lastModifiedBy>李宏瑫</cp:lastModifiedBy>
  <dcterms:modified xsi:type="dcterms:W3CDTF">2025-10-28T03:41:44Z</dcterms:modified>
  <dc:title>中山市“香山书房”建设管理及运营服务工作指引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8F88BD12B182AE036F71E8680CC0C268_43</vt:lpwstr>
  </property>
</Properties>
</file>