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口腔中心分诊系统</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口腔中心分诊系统</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口腔中心分诊系统</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49,200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6"/>
        <w:tblpPr w:leftFromText="180" w:rightFromText="180" w:vertAnchor="text" w:tblpX="211" w:tblpY="1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280"/>
        <w:gridCol w:w="4656"/>
        <w:gridCol w:w="810"/>
        <w:gridCol w:w="1000"/>
      </w:tblGrid>
      <w:tr w14:paraId="0BDF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center"/>
          </w:tcPr>
          <w:p w14:paraId="720E3607">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序号</w:t>
            </w:r>
          </w:p>
        </w:tc>
        <w:tc>
          <w:tcPr>
            <w:tcW w:w="2280" w:type="dxa"/>
            <w:noWrap w:val="0"/>
            <w:vAlign w:val="center"/>
          </w:tcPr>
          <w:p w14:paraId="69A4CF7F">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名称</w:t>
            </w:r>
          </w:p>
        </w:tc>
        <w:tc>
          <w:tcPr>
            <w:tcW w:w="4656" w:type="dxa"/>
            <w:noWrap w:val="0"/>
            <w:vAlign w:val="center"/>
          </w:tcPr>
          <w:p w14:paraId="68854225">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内容描述</w:t>
            </w:r>
          </w:p>
        </w:tc>
        <w:tc>
          <w:tcPr>
            <w:tcW w:w="810" w:type="dxa"/>
            <w:noWrap w:val="0"/>
            <w:vAlign w:val="center"/>
          </w:tcPr>
          <w:p w14:paraId="7CD6C7EE">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数量</w:t>
            </w:r>
          </w:p>
        </w:tc>
        <w:tc>
          <w:tcPr>
            <w:tcW w:w="1000" w:type="dxa"/>
            <w:noWrap w:val="0"/>
            <w:vAlign w:val="center"/>
          </w:tcPr>
          <w:p w14:paraId="3D75C640">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单位</w:t>
            </w:r>
          </w:p>
        </w:tc>
      </w:tr>
      <w:tr w14:paraId="792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center"/>
          </w:tcPr>
          <w:p w14:paraId="0A0FB23A">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1</w:t>
            </w:r>
          </w:p>
        </w:tc>
        <w:tc>
          <w:tcPr>
            <w:tcW w:w="2280" w:type="dxa"/>
            <w:vMerge w:val="restart"/>
            <w:noWrap w:val="0"/>
            <w:vAlign w:val="center"/>
          </w:tcPr>
          <w:p w14:paraId="64348BE1">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口腔中心分诊系统</w:t>
            </w:r>
          </w:p>
        </w:tc>
        <w:tc>
          <w:tcPr>
            <w:tcW w:w="4656" w:type="dxa"/>
            <w:noWrap w:val="0"/>
            <w:vAlign w:val="top"/>
          </w:tcPr>
          <w:p w14:paraId="3190CFFC">
            <w:pPr>
              <w:pStyle w:val="23"/>
              <w:spacing w:before="6" w:line="216" w:lineRule="auto"/>
              <w:rPr>
                <w:rFonts w:hint="eastAsia"/>
                <w:spacing w:val="-4"/>
                <w:sz w:val="24"/>
                <w:szCs w:val="24"/>
                <w:highlight w:val="none"/>
                <w:vertAlign w:val="baseline"/>
                <w:lang w:val="en-US" w:eastAsia="zh-CN"/>
              </w:rPr>
            </w:pPr>
            <w:r>
              <w:rPr>
                <w:rFonts w:hint="eastAsia"/>
                <w:spacing w:val="-4"/>
                <w:sz w:val="24"/>
                <w:szCs w:val="24"/>
                <w:highlight w:val="none"/>
                <w:vertAlign w:val="baseline"/>
                <w:lang w:val="en-US" w:eastAsia="zh-CN"/>
              </w:rPr>
              <w:t>诊室屏</w:t>
            </w:r>
          </w:p>
        </w:tc>
        <w:tc>
          <w:tcPr>
            <w:tcW w:w="810" w:type="dxa"/>
            <w:noWrap w:val="0"/>
            <w:vAlign w:val="center"/>
          </w:tcPr>
          <w:p w14:paraId="6523D045">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9</w:t>
            </w:r>
          </w:p>
        </w:tc>
        <w:tc>
          <w:tcPr>
            <w:tcW w:w="1000" w:type="dxa"/>
            <w:noWrap w:val="0"/>
            <w:vAlign w:val="center"/>
          </w:tcPr>
          <w:p w14:paraId="1409A73D">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台</w:t>
            </w:r>
          </w:p>
        </w:tc>
      </w:tr>
      <w:tr w14:paraId="1E0C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center"/>
          </w:tcPr>
          <w:p w14:paraId="4AF47200">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2</w:t>
            </w:r>
          </w:p>
        </w:tc>
        <w:tc>
          <w:tcPr>
            <w:tcW w:w="2280" w:type="dxa"/>
            <w:vMerge w:val="continue"/>
            <w:noWrap w:val="0"/>
            <w:vAlign w:val="top"/>
          </w:tcPr>
          <w:p w14:paraId="6743ED3D">
            <w:pPr>
              <w:pStyle w:val="23"/>
              <w:spacing w:before="6" w:line="216" w:lineRule="auto"/>
              <w:jc w:val="center"/>
              <w:rPr>
                <w:rFonts w:hint="eastAsia"/>
                <w:spacing w:val="-4"/>
                <w:sz w:val="24"/>
                <w:szCs w:val="24"/>
                <w:highlight w:val="none"/>
                <w:vertAlign w:val="baseline"/>
                <w:lang w:val="en-US" w:eastAsia="zh-CN"/>
              </w:rPr>
            </w:pPr>
          </w:p>
        </w:tc>
        <w:tc>
          <w:tcPr>
            <w:tcW w:w="4656" w:type="dxa"/>
            <w:noWrap w:val="0"/>
            <w:vAlign w:val="top"/>
          </w:tcPr>
          <w:p w14:paraId="473A6A9D">
            <w:pPr>
              <w:pStyle w:val="23"/>
              <w:spacing w:before="6" w:line="216" w:lineRule="auto"/>
              <w:rPr>
                <w:rFonts w:hint="eastAsia"/>
                <w:spacing w:val="-4"/>
                <w:sz w:val="24"/>
                <w:szCs w:val="24"/>
                <w:highlight w:val="none"/>
                <w:vertAlign w:val="baseline"/>
                <w:lang w:val="en-US" w:eastAsia="zh-CN"/>
              </w:rPr>
            </w:pPr>
            <w:r>
              <w:rPr>
                <w:rFonts w:hint="eastAsia"/>
                <w:spacing w:val="-4"/>
                <w:sz w:val="24"/>
                <w:szCs w:val="24"/>
                <w:highlight w:val="none"/>
                <w:vertAlign w:val="baseline"/>
                <w:lang w:val="en-US" w:eastAsia="zh-CN"/>
              </w:rPr>
              <w:t>候诊屏</w:t>
            </w:r>
          </w:p>
        </w:tc>
        <w:tc>
          <w:tcPr>
            <w:tcW w:w="810" w:type="dxa"/>
            <w:noWrap w:val="0"/>
            <w:vAlign w:val="center"/>
          </w:tcPr>
          <w:p w14:paraId="5EFDCB71">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1</w:t>
            </w:r>
          </w:p>
        </w:tc>
        <w:tc>
          <w:tcPr>
            <w:tcW w:w="1000" w:type="dxa"/>
            <w:noWrap w:val="0"/>
            <w:vAlign w:val="center"/>
          </w:tcPr>
          <w:p w14:paraId="287274D4">
            <w:pPr>
              <w:pStyle w:val="23"/>
              <w:spacing w:before="6" w:line="216" w:lineRule="auto"/>
              <w:jc w:val="center"/>
              <w:rPr>
                <w:rFonts w:hint="eastAsia"/>
                <w:spacing w:val="-4"/>
                <w:sz w:val="24"/>
                <w:szCs w:val="24"/>
                <w:highlight w:val="none"/>
                <w:vertAlign w:val="baseline"/>
                <w:lang w:val="en-US" w:eastAsia="zh-CN"/>
              </w:rPr>
            </w:pPr>
            <w:r>
              <w:rPr>
                <w:rFonts w:hint="eastAsia"/>
                <w:spacing w:val="-4"/>
                <w:sz w:val="24"/>
                <w:szCs w:val="24"/>
                <w:highlight w:val="none"/>
                <w:vertAlign w:val="baseline"/>
                <w:lang w:val="en-US" w:eastAsia="zh-CN"/>
              </w:rPr>
              <w:t>台</w:t>
            </w:r>
          </w:p>
        </w:tc>
      </w:tr>
      <w:tr w14:paraId="3A5E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center"/>
          </w:tcPr>
          <w:p w14:paraId="4F491BF4">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3</w:t>
            </w:r>
          </w:p>
        </w:tc>
        <w:tc>
          <w:tcPr>
            <w:tcW w:w="2280" w:type="dxa"/>
            <w:vMerge w:val="continue"/>
            <w:noWrap w:val="0"/>
            <w:vAlign w:val="top"/>
          </w:tcPr>
          <w:p w14:paraId="02F76817">
            <w:pPr>
              <w:pStyle w:val="23"/>
              <w:spacing w:before="6" w:line="216" w:lineRule="auto"/>
              <w:jc w:val="center"/>
              <w:rPr>
                <w:rFonts w:hint="eastAsia"/>
                <w:spacing w:val="-4"/>
                <w:sz w:val="24"/>
                <w:szCs w:val="24"/>
                <w:highlight w:val="none"/>
                <w:vertAlign w:val="baseline"/>
                <w:lang w:val="en-US" w:eastAsia="zh-CN"/>
              </w:rPr>
            </w:pPr>
          </w:p>
        </w:tc>
        <w:tc>
          <w:tcPr>
            <w:tcW w:w="4656" w:type="dxa"/>
            <w:noWrap w:val="0"/>
            <w:vAlign w:val="top"/>
          </w:tcPr>
          <w:p w14:paraId="7B7D62FB">
            <w:pPr>
              <w:pStyle w:val="23"/>
              <w:spacing w:before="6" w:line="216" w:lineRule="auto"/>
              <w:rPr>
                <w:rFonts w:hint="eastAsia"/>
                <w:spacing w:val="-4"/>
                <w:sz w:val="24"/>
                <w:szCs w:val="24"/>
                <w:highlight w:val="none"/>
                <w:vertAlign w:val="baseline"/>
                <w:lang w:val="en-US" w:eastAsia="zh-CN"/>
              </w:rPr>
            </w:pPr>
            <w:r>
              <w:rPr>
                <w:rFonts w:hint="eastAsia"/>
                <w:spacing w:val="-4"/>
                <w:sz w:val="24"/>
                <w:szCs w:val="24"/>
                <w:highlight w:val="none"/>
                <w:vertAlign w:val="baseline"/>
                <w:lang w:val="en-US" w:eastAsia="zh-CN"/>
              </w:rPr>
              <w:t>多媒体医疗导引系统平台软件改造技术服务</w:t>
            </w:r>
          </w:p>
        </w:tc>
        <w:tc>
          <w:tcPr>
            <w:tcW w:w="810" w:type="dxa"/>
            <w:noWrap w:val="0"/>
            <w:vAlign w:val="center"/>
          </w:tcPr>
          <w:p w14:paraId="0068DB1A">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1</w:t>
            </w:r>
          </w:p>
        </w:tc>
        <w:tc>
          <w:tcPr>
            <w:tcW w:w="1000" w:type="dxa"/>
            <w:noWrap w:val="0"/>
            <w:vAlign w:val="center"/>
          </w:tcPr>
          <w:p w14:paraId="52696C14">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套</w:t>
            </w:r>
          </w:p>
        </w:tc>
      </w:tr>
      <w:tr w14:paraId="0E37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center"/>
          </w:tcPr>
          <w:p w14:paraId="5B453CAB">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4</w:t>
            </w:r>
          </w:p>
        </w:tc>
        <w:tc>
          <w:tcPr>
            <w:tcW w:w="2280" w:type="dxa"/>
            <w:vMerge w:val="continue"/>
            <w:noWrap w:val="0"/>
            <w:vAlign w:val="top"/>
          </w:tcPr>
          <w:p w14:paraId="1E71CE29">
            <w:pPr>
              <w:pStyle w:val="23"/>
              <w:spacing w:before="6" w:line="216" w:lineRule="auto"/>
              <w:jc w:val="center"/>
              <w:rPr>
                <w:rFonts w:hint="eastAsia"/>
                <w:spacing w:val="-4"/>
                <w:sz w:val="24"/>
                <w:szCs w:val="24"/>
                <w:highlight w:val="none"/>
                <w:vertAlign w:val="baseline"/>
                <w:lang w:val="en-US" w:eastAsia="zh-CN"/>
              </w:rPr>
            </w:pPr>
          </w:p>
        </w:tc>
        <w:tc>
          <w:tcPr>
            <w:tcW w:w="4656" w:type="dxa"/>
            <w:noWrap w:val="0"/>
            <w:vAlign w:val="top"/>
          </w:tcPr>
          <w:p w14:paraId="0FF15CFA">
            <w:pPr>
              <w:pStyle w:val="23"/>
              <w:spacing w:before="6" w:line="216" w:lineRule="auto"/>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技术服务</w:t>
            </w:r>
          </w:p>
        </w:tc>
        <w:tc>
          <w:tcPr>
            <w:tcW w:w="810" w:type="dxa"/>
            <w:noWrap w:val="0"/>
            <w:vAlign w:val="center"/>
          </w:tcPr>
          <w:p w14:paraId="65BB2272">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1</w:t>
            </w:r>
          </w:p>
        </w:tc>
        <w:tc>
          <w:tcPr>
            <w:tcW w:w="1000" w:type="dxa"/>
            <w:noWrap w:val="0"/>
            <w:vAlign w:val="center"/>
          </w:tcPr>
          <w:p w14:paraId="3BDEF3CD">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项</w:t>
            </w:r>
          </w:p>
        </w:tc>
      </w:tr>
      <w:tr w14:paraId="2EB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3" w:type="dxa"/>
            <w:noWrap w:val="0"/>
            <w:vAlign w:val="top"/>
          </w:tcPr>
          <w:p w14:paraId="2F76A7CC">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5</w:t>
            </w:r>
          </w:p>
        </w:tc>
        <w:tc>
          <w:tcPr>
            <w:tcW w:w="2280" w:type="dxa"/>
            <w:noWrap w:val="0"/>
            <w:vAlign w:val="top"/>
          </w:tcPr>
          <w:p w14:paraId="244E97CA">
            <w:pPr>
              <w:pStyle w:val="23"/>
              <w:spacing w:before="6" w:line="216" w:lineRule="auto"/>
              <w:jc w:val="center"/>
              <w:rPr>
                <w:rFonts w:hint="default"/>
                <w:spacing w:val="-4"/>
                <w:sz w:val="24"/>
                <w:szCs w:val="24"/>
                <w:highlight w:val="none"/>
                <w:vertAlign w:val="baseline"/>
                <w:lang w:val="en-US" w:eastAsia="zh-CN"/>
              </w:rPr>
            </w:pPr>
            <w:r>
              <w:rPr>
                <w:rFonts w:hint="eastAsia"/>
                <w:spacing w:val="-4"/>
                <w:sz w:val="24"/>
                <w:szCs w:val="24"/>
                <w:highlight w:val="none"/>
                <w:vertAlign w:val="baseline"/>
                <w:lang w:val="en-US" w:eastAsia="zh-CN"/>
              </w:rPr>
              <w:t>预算总金额</w:t>
            </w:r>
          </w:p>
        </w:tc>
        <w:tc>
          <w:tcPr>
            <w:tcW w:w="6466" w:type="dxa"/>
            <w:gridSpan w:val="3"/>
            <w:noWrap w:val="0"/>
            <w:vAlign w:val="top"/>
          </w:tcPr>
          <w:p w14:paraId="024B8852">
            <w:pPr>
              <w:pStyle w:val="23"/>
              <w:spacing w:before="6" w:line="216" w:lineRule="auto"/>
              <w:rPr>
                <w:rFonts w:hint="eastAsia"/>
                <w:spacing w:val="-4"/>
                <w:sz w:val="24"/>
                <w:szCs w:val="24"/>
                <w:highlight w:val="none"/>
                <w:vertAlign w:val="baseline"/>
                <w:lang w:val="en-US" w:eastAsia="zh-CN"/>
              </w:rPr>
            </w:pPr>
            <w:r>
              <w:rPr>
                <w:rFonts w:hint="eastAsia"/>
                <w:spacing w:val="-4"/>
                <w:sz w:val="24"/>
                <w:szCs w:val="24"/>
                <w:highlight w:val="none"/>
                <w:vertAlign w:val="baseline"/>
                <w:lang w:val="en-US" w:eastAsia="zh-CN"/>
              </w:rPr>
              <w:t>49,200.00元</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220A2A46">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项目总体需求</w:t>
      </w:r>
    </w:p>
    <w:p w14:paraId="58EC3669">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我院</w:t>
      </w:r>
      <w:r>
        <w:rPr>
          <w:rFonts w:hint="eastAsia" w:ascii="宋体" w:hAnsi="宋体" w:eastAsia="宋体" w:cs="宋体"/>
          <w:i w:val="0"/>
          <w:iCs w:val="0"/>
          <w:color w:val="auto"/>
          <w:kern w:val="0"/>
          <w:sz w:val="21"/>
          <w:szCs w:val="21"/>
          <w:highlight w:val="none"/>
          <w:u w:val="none"/>
          <w:lang w:val="en-US" w:eastAsia="zh-CN" w:bidi="ar"/>
        </w:rPr>
        <w:t>已经建设了一套多媒体分诊导引系统，口腔科的分诊建设将延续原分诊架构和流程，以便能最大化的节约建设成本和方便进行系统的管理。口腔科门诊是一个集治疗、检查、科普宣教等为一体的诊疗中心，本项目的建设有利于患者满意度的进一步提升。针对口腔科门诊排队叫号需求，结合医院实际现场环境，通过与医院HIS系统进行</w:t>
      </w:r>
      <w:r>
        <w:rPr>
          <w:rFonts w:hint="eastAsia" w:ascii="宋体" w:hAnsi="宋体" w:cs="宋体"/>
          <w:i w:val="0"/>
          <w:iCs w:val="0"/>
          <w:color w:val="auto"/>
          <w:kern w:val="0"/>
          <w:sz w:val="21"/>
          <w:szCs w:val="21"/>
          <w:highlight w:val="none"/>
          <w:u w:val="none"/>
          <w:lang w:val="en-US" w:eastAsia="zh-CN" w:bidi="ar"/>
        </w:rPr>
        <w:t>实</w:t>
      </w:r>
      <w:r>
        <w:rPr>
          <w:rFonts w:hint="eastAsia" w:ascii="宋体" w:hAnsi="宋体" w:eastAsia="宋体" w:cs="宋体"/>
          <w:i w:val="0"/>
          <w:iCs w:val="0"/>
          <w:color w:val="auto"/>
          <w:kern w:val="0"/>
          <w:sz w:val="21"/>
          <w:szCs w:val="21"/>
          <w:highlight w:val="none"/>
          <w:u w:val="none"/>
          <w:lang w:val="en-US" w:eastAsia="zh-CN" w:bidi="ar"/>
        </w:rPr>
        <w:t>时数据交互，建立较为先进的一级、二级分诊模式，及显示排队叫号信息、公共宣教信息。系统主要可实现以下提升。</w:t>
      </w:r>
    </w:p>
    <w:p w14:paraId="0DE675A6">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合理有效引导来医院口腔科就诊的人流，改善就医环境。</w:t>
      </w:r>
    </w:p>
    <w:p w14:paraId="4E4A5AD0">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提供明晰有序的分诊显示，减少护士因导医咨询而产生的工作量，缓解医患紧张关系。</w:t>
      </w:r>
    </w:p>
    <w:p w14:paraId="647597EE">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多媒体精确显示，让患者有序候诊，减少患者间因排队而产生的矛盾与冲突。</w:t>
      </w:r>
    </w:p>
    <w:p w14:paraId="15A7AAA4">
      <w:pPr>
        <w:keepNext w:val="0"/>
        <w:keepLines w:val="0"/>
        <w:pageBreakBefore w:val="0"/>
        <w:widowControl w:val="0"/>
        <w:kinsoku/>
        <w:wordWrap/>
        <w:overflowPunct/>
        <w:topLinePunct w:val="0"/>
        <w:bidi w:val="0"/>
        <w:adjustRightInd w:val="0"/>
        <w:snapToGrid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与医院现有的分诊系统实现统一后台管理及相关业务流程。</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0C48578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1.诊室屏</w:t>
      </w:r>
    </w:p>
    <w:p w14:paraId="3B0B559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val="en-US" w:eastAsia="zh-CN" w:bidi="ar-SA"/>
        </w:rPr>
        <w:t>1.1基本要求：</w:t>
      </w:r>
      <w:r>
        <w:rPr>
          <w:rFonts w:hint="eastAsia" w:ascii="宋体" w:hAnsi="宋体" w:eastAsia="宋体" w:cs="宋体"/>
          <w:sz w:val="21"/>
          <w:szCs w:val="21"/>
          <w:highlight w:val="none"/>
        </w:rPr>
        <w:t>显示屏尺寸：≥19英寸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处理器要求：≥四核，1.3GHZ</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内存要求：≥1GB</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外存储：≥8GB</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操作系统：Android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分辨率≥</w:t>
      </w:r>
      <w:r>
        <w:rPr>
          <w:rFonts w:ascii="宋体" w:hAnsi="宋体" w:eastAsia="宋体" w:cs="宋体"/>
          <w:sz w:val="21"/>
          <w:szCs w:val="21"/>
          <w:highlight w:val="none"/>
        </w:rPr>
        <w:t>1366 x 768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亮度≥250 cd/m</w:t>
      </w:r>
      <w:r>
        <w:rPr>
          <w:rFonts w:ascii="宋体" w:hAnsi="宋体" w:eastAsia="宋体" w:cs="Calibri"/>
          <w:sz w:val="21"/>
          <w:szCs w:val="21"/>
          <w:highlight w:val="none"/>
        </w:rPr>
        <w:t>²</w:t>
      </w:r>
      <w:r>
        <w:rPr>
          <w:rFonts w:hint="eastAsia" w:ascii="宋体" w:hAnsi="宋体" w:eastAsia="宋体" w:cs="Calibri"/>
          <w:sz w:val="21"/>
          <w:szCs w:val="21"/>
          <w:highlight w:val="none"/>
          <w:lang w:eastAsia="zh-CN"/>
        </w:rPr>
        <w:t>，</w:t>
      </w:r>
      <w:r>
        <w:rPr>
          <w:rFonts w:hint="eastAsia" w:ascii="宋体" w:hAnsi="宋体" w:eastAsia="宋体" w:cs="宋体"/>
          <w:sz w:val="21"/>
          <w:szCs w:val="21"/>
          <w:highlight w:val="none"/>
        </w:rPr>
        <w:t>整机额定功率：≤30W</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待机功率：≤2W</w:t>
      </w:r>
      <w:r>
        <w:rPr>
          <w:rFonts w:hint="eastAsia" w:ascii="宋体" w:hAnsi="宋体" w:eastAsia="宋体" w:cs="宋体"/>
          <w:sz w:val="21"/>
          <w:szCs w:val="21"/>
          <w:highlight w:val="none"/>
          <w:lang w:eastAsia="zh-CN"/>
        </w:rPr>
        <w:t>。</w:t>
      </w:r>
    </w:p>
    <w:p w14:paraId="649157D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sz w:val="21"/>
          <w:szCs w:val="21"/>
          <w:highlight w:val="none"/>
          <w:lang w:eastAsia="zh-CN"/>
        </w:rPr>
      </w:pPr>
      <w:r>
        <w:rPr>
          <w:rFonts w:hint="eastAsia" w:ascii="宋体" w:hAnsi="宋体" w:eastAsia="宋体"/>
          <w:sz w:val="21"/>
          <w:szCs w:val="21"/>
          <w:highlight w:val="none"/>
          <w:lang w:val="en-US" w:eastAsia="zh-CN"/>
        </w:rPr>
        <w:t>1.2功能与效果：</w:t>
      </w:r>
      <w:r>
        <w:rPr>
          <w:rFonts w:hint="eastAsia" w:ascii="宋体" w:hAnsi="宋体" w:eastAsia="宋体" w:cs="宋体"/>
          <w:sz w:val="21"/>
          <w:szCs w:val="21"/>
          <w:highlight w:val="none"/>
        </w:rPr>
        <w:t>内置RTC时钟，支持全天多时段定时开关机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设备应支持 7*24 小时运行，应满足无风扇设计标准，为防止患者误操作，机身应无按键设计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需支持定时开关机，支持定时下载、定时播放、下载限速、断点续传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支持平衡调节、多段式均衡器、DTS 解码、Dolby解码、自动声音调整、LIPSYNC(音画同步)、立体变频(混合调光)（需提供第三方检测机构出具的检测报告，并加盖</w:t>
      </w:r>
      <w:r>
        <w:rPr>
          <w:rFonts w:hint="eastAsia" w:ascii="宋体" w:hAnsi="宋体" w:eastAsia="宋体"/>
          <w:bCs/>
          <w:kern w:val="0"/>
          <w:sz w:val="21"/>
          <w:szCs w:val="21"/>
          <w:highlight w:val="none"/>
        </w:rPr>
        <w:t>供应商公章</w:t>
      </w:r>
      <w:r>
        <w:rPr>
          <w:rFonts w:hint="eastAsia" w:ascii="宋体" w:hAnsi="宋体" w:eastAsia="宋体" w:cs="宋体"/>
          <w:sz w:val="21"/>
          <w:szCs w:val="21"/>
          <w:highlight w:val="none"/>
        </w:rPr>
        <w:t>）。</w:t>
      </w:r>
    </w:p>
    <w:p w14:paraId="71C28608">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.3供应商所投产品须</w:t>
      </w:r>
      <w:r>
        <w:rPr>
          <w:rFonts w:hint="eastAsia" w:ascii="宋体" w:hAnsi="宋体" w:eastAsia="宋体" w:cs="宋体"/>
          <w:sz w:val="21"/>
          <w:szCs w:val="21"/>
          <w:highlight w:val="none"/>
        </w:rPr>
        <w:t>具有国家强制性CCC认证证书、国家强制性产品认证试验报告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须提供复印件并加盖</w:t>
      </w:r>
      <w:r>
        <w:rPr>
          <w:rFonts w:hint="eastAsia" w:ascii="宋体" w:hAnsi="宋体" w:eastAsia="宋体"/>
          <w:bCs/>
          <w:kern w:val="0"/>
          <w:sz w:val="21"/>
          <w:szCs w:val="21"/>
          <w:highlight w:val="none"/>
        </w:rPr>
        <w:t>供应商公章。</w:t>
      </w:r>
    </w:p>
    <w:p w14:paraId="59B82991">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2.候诊屏</w:t>
      </w:r>
    </w:p>
    <w:p w14:paraId="6D019778">
      <w:pPr>
        <w:suppressAutoHyphens/>
        <w:spacing w:line="360" w:lineRule="auto"/>
        <w:ind w:firstLine="420" w:firstLineChars="200"/>
        <w:rPr>
          <w:rFonts w:hint="eastAsia" w:ascii="宋体" w:hAnsi="宋体" w:eastAsia="宋体" w:cs="宋体"/>
          <w:sz w:val="21"/>
          <w:szCs w:val="21"/>
          <w:highlight w:val="none"/>
          <w:lang w:eastAsia="zh-CN"/>
        </w:rPr>
      </w:pPr>
      <w:bookmarkStart w:id="1" w:name="OLE_LINK2"/>
      <w:r>
        <w:rPr>
          <w:rFonts w:hint="eastAsia" w:ascii="宋体" w:hAnsi="宋体" w:cs="宋体"/>
          <w:color w:val="auto"/>
          <w:sz w:val="21"/>
          <w:szCs w:val="21"/>
          <w:highlight w:val="none"/>
          <w:lang w:val="en-US" w:eastAsia="zh-CN" w:bidi="ar-SA"/>
        </w:rPr>
        <w:t>2.1基本要求：</w:t>
      </w:r>
      <w:r>
        <w:rPr>
          <w:rFonts w:hint="eastAsia" w:ascii="宋体" w:hAnsi="宋体" w:eastAsia="宋体" w:cs="宋体"/>
          <w:sz w:val="21"/>
          <w:szCs w:val="21"/>
          <w:highlight w:val="none"/>
        </w:rPr>
        <w:t>显示屏尺寸：≥55英寸</w:t>
      </w:r>
      <w:bookmarkEnd w:id="1"/>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处理器要求：≥Dual-core A73 and dual-core A53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内存要求：≥2GB</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外存储：≥8GB</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操作系统：Android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分辨率≥</w:t>
      </w:r>
      <w:r>
        <w:rPr>
          <w:rFonts w:ascii="宋体" w:hAnsi="宋体" w:eastAsia="宋体" w:cs="宋体"/>
          <w:sz w:val="21"/>
          <w:szCs w:val="21"/>
          <w:highlight w:val="none"/>
        </w:rPr>
        <w:t>3840*2160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亮度≥350 cd/m</w:t>
      </w:r>
      <w:r>
        <w:rPr>
          <w:rFonts w:ascii="宋体" w:hAnsi="宋体" w:eastAsia="宋体" w:cs="Calibri"/>
          <w:sz w:val="21"/>
          <w:szCs w:val="21"/>
          <w:highlight w:val="none"/>
        </w:rPr>
        <w:t>²</w:t>
      </w:r>
      <w:r>
        <w:rPr>
          <w:rFonts w:hint="eastAsia" w:ascii="宋体" w:hAnsi="宋体" w:eastAsia="宋体" w:cs="Calibri"/>
          <w:sz w:val="21"/>
          <w:szCs w:val="21"/>
          <w:highlight w:val="none"/>
          <w:lang w:eastAsia="zh-CN"/>
        </w:rPr>
        <w:t>，</w:t>
      </w:r>
      <w:r>
        <w:rPr>
          <w:rFonts w:hint="eastAsia" w:ascii="宋体" w:hAnsi="宋体" w:eastAsia="宋体" w:cs="宋体"/>
          <w:sz w:val="21"/>
          <w:szCs w:val="21"/>
          <w:highlight w:val="none"/>
        </w:rPr>
        <w:t>整机额定功率：≤150W</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待机功率：≤2W</w:t>
      </w:r>
      <w:r>
        <w:rPr>
          <w:rFonts w:hint="eastAsia" w:ascii="宋体" w:hAnsi="宋体" w:eastAsia="宋体" w:cs="宋体"/>
          <w:sz w:val="21"/>
          <w:szCs w:val="21"/>
          <w:highlight w:val="none"/>
          <w:lang w:eastAsia="zh-CN"/>
        </w:rPr>
        <w:t>。</w:t>
      </w:r>
    </w:p>
    <w:p w14:paraId="32A46BE0">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2.2功能与效果：</w:t>
      </w:r>
      <w:r>
        <w:rPr>
          <w:rFonts w:hint="eastAsia" w:ascii="宋体" w:hAnsi="宋体" w:eastAsia="宋体" w:cs="宋体"/>
          <w:sz w:val="21"/>
          <w:szCs w:val="21"/>
          <w:highlight w:val="none"/>
        </w:rPr>
        <w:t>内置RTC时钟，支持全天多时段定时开关机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需支持分屏显示，可划分多个显示区域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需支持定时开关机，支持定时下载、定时播放、下载限速、断点续传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支持平衡调节、多段式均衡器、DTS 解码、Dolby解码、自动声音调整、LIPSYNC(音画同步)、立体变频(混合调光)（需提供第三方检测机构出具的检测报告，并加盖</w:t>
      </w:r>
      <w:r>
        <w:rPr>
          <w:rFonts w:hint="eastAsia" w:ascii="宋体" w:hAnsi="宋体" w:eastAsia="宋体"/>
          <w:bCs/>
          <w:kern w:val="0"/>
          <w:sz w:val="21"/>
          <w:szCs w:val="21"/>
          <w:highlight w:val="none"/>
        </w:rPr>
        <w:t>供应商公章</w:t>
      </w:r>
      <w:r>
        <w:rPr>
          <w:rFonts w:hint="eastAsia" w:ascii="宋体" w:hAnsi="宋体" w:eastAsia="宋体" w:cs="宋体"/>
          <w:sz w:val="21"/>
          <w:szCs w:val="21"/>
          <w:highlight w:val="none"/>
        </w:rPr>
        <w:t>）。</w:t>
      </w:r>
    </w:p>
    <w:p w14:paraId="6900C0AA">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2.3供应商所投产品须</w:t>
      </w:r>
      <w:r>
        <w:rPr>
          <w:rFonts w:hint="eastAsia" w:ascii="宋体" w:hAnsi="宋体" w:eastAsia="宋体" w:cs="宋体"/>
          <w:sz w:val="21"/>
          <w:szCs w:val="21"/>
          <w:highlight w:val="none"/>
        </w:rPr>
        <w:t>具有国家强制性CCC认证证书、国家强制性产品认证试验报告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须提供复印件并加盖</w:t>
      </w:r>
      <w:r>
        <w:rPr>
          <w:rFonts w:hint="eastAsia" w:ascii="宋体" w:hAnsi="宋体" w:eastAsia="宋体"/>
          <w:bCs/>
          <w:kern w:val="0"/>
          <w:sz w:val="21"/>
          <w:szCs w:val="21"/>
          <w:highlight w:val="none"/>
        </w:rPr>
        <w:t>供应商公章。</w:t>
      </w:r>
    </w:p>
    <w:p w14:paraId="7E029166">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多媒体医疗导引系统平台软件改造技术服务</w:t>
      </w:r>
    </w:p>
    <w:p w14:paraId="2CE1393C">
      <w:pPr>
        <w:numPr>
          <w:ilvl w:val="0"/>
          <w:numId w:val="0"/>
        </w:numPr>
        <w:suppressAutoHyphens/>
        <w:spacing w:line="360" w:lineRule="auto"/>
        <w:ind w:leftChars="0" w:firstLine="422" w:firstLineChars="200"/>
        <w:rPr>
          <w:rFonts w:hint="eastAsia" w:ascii="宋体" w:hAnsi="宋体" w:eastAsia="宋体" w:cs="宋体"/>
          <w:sz w:val="21"/>
          <w:szCs w:val="21"/>
          <w:highlight w:val="none"/>
        </w:rPr>
      </w:pPr>
      <w:r>
        <w:rPr>
          <w:rFonts w:hint="eastAsia" w:ascii="宋体" w:hAnsi="宋体" w:eastAsia="宋体"/>
          <w:b/>
          <w:bCs/>
          <w:sz w:val="21"/>
          <w:szCs w:val="21"/>
          <w:highlight w:val="none"/>
          <w:lang w:val="en-US" w:eastAsia="zh-CN"/>
        </w:rPr>
        <w:t>3.1</w:t>
      </w:r>
      <w:r>
        <w:rPr>
          <w:rFonts w:hint="eastAsia" w:ascii="宋体" w:hAnsi="宋体" w:eastAsia="宋体"/>
          <w:b/>
          <w:bCs/>
          <w:sz w:val="21"/>
          <w:szCs w:val="21"/>
          <w:highlight w:val="none"/>
        </w:rPr>
        <w:t>软件平台基础功能</w:t>
      </w:r>
    </w:p>
    <w:p w14:paraId="23718C76">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1信息发布系统与排队叫号系统集成于统一平台，方便医院管理维护；叫号系统软件装载在分诊及HIS接口服务器上，该服务器需有良好的数据备份及安全措施。</w:t>
      </w:r>
    </w:p>
    <w:p w14:paraId="367E6BED">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2系统后台应具备部门管理、用户管理、角色管理功能，终端管理，监控管理等子模块功能，方便后期维护人员对终端、播放内容进行高效管理；系统需支持接收HIS接口数据、医生诊室电脑、护士站电脑传来的信息，实时生成最新的分诊导引排队队列信息，并按显示规则推送到相对应的一级分诊屏、二级分诊屏上。</w:t>
      </w:r>
    </w:p>
    <w:p w14:paraId="73838AA6">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3可根据一个诊室多医生的实际情况，调整二级屏的显示模式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一级、二级分诊屏的显示画面可根据医院需求定制且修改方便。</w:t>
      </w:r>
    </w:p>
    <w:p w14:paraId="4E8BA3EB">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4为满足多系统之间互联互通要求，方便后期对数据接口以及软件故障排查，系统需具备日志可视化管理功能，并能通过日志生成时间、操作者来源、操作类型、操作模块、操作结果、操作时间、耗时等进行快速筛查，极大方便后期日常维护工作。</w:t>
      </w:r>
    </w:p>
    <w:p w14:paraId="508C49DD">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5为保证系统数据安全，系统后台需支持对数据的可视化管理，支持自定义设置历史数据保留时长，支持对数据进行隐私保护标识符号进行设置，支持选择是否开启数据备份服务，以及备份周期进行选择。</w:t>
      </w:r>
    </w:p>
    <w:p w14:paraId="260489B7">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6根据医院实际情况，针对预约患者签到规则，系统应具备可视化管理功能，支持选择是否开启预约签到功能，开启后，支持对预约患者提前签到时间、预约迟到条件、迟到患者惩罚机制，叫号策略等做相应的管理；系统需支持自动将患者平均分配到普通号出诊医生队列中，并按顺序叫号；支持自动将挂专家号的患者与专家一一对应，并按顺序叫号；对于患者要选择医生的，可支持由护士站电脑手动选择对应的医生诊室。</w:t>
      </w:r>
    </w:p>
    <w:p w14:paraId="051BF0A8">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7需满足医院对于多媒体医疗导引系统平台的定制化需求，可进行软件二次开发。</w:t>
      </w:r>
    </w:p>
    <w:p w14:paraId="74A3415A">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8普通门诊导诊叫号系统软件需支持对分诊台进行添加、编辑、删除等基本操作，需支持对队列类型进行添加、编辑、删除等基本操作，需支持对接口数据源的添加、编辑、删除等基本操作。（需提供具有CSTC或CNAS标志的第三方检测机构出具的检测报告复印件佐证，并加盖供应商公章）。</w:t>
      </w:r>
    </w:p>
    <w:p w14:paraId="738FB37A">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9支持门诊统计辅助决策系统，系统需支持收集与门诊医疗服务有关的数据资料，并进行整理和分析，具有分时统计、历史统计、医生查询、患者查询等功能等，以图表形式呈现，以数据内容支撑院内门诊的决策；系统需支持智能化、视频化的门诊健康教育功能，可实现通过本次招标中的任意终端设备，提供门诊患者健康教育视频服务功能，支持患者移动端设备如手机访问及使用，可访问云端服务器实现宣教内容的交互式点播查看；系统后台的操作内容主要包括：视频管理、分类管理、科室管理、播放量统计等相关功能。同时需提供具有无版权争议的健康宣教视频不少于300部，每部时长约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6分钟，需包含病症、病因、诊断、预防等内容（为避免版权纠纷，需提供相关的佐证材料，并加盖供应商公章），</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人须在</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方案中提供健康宣教节目名录列表，并于</w:t>
      </w:r>
      <w:r>
        <w:rPr>
          <w:rFonts w:hint="eastAsia" w:ascii="宋体" w:hAnsi="宋体" w:eastAsia="宋体" w:cs="宋体"/>
          <w:sz w:val="21"/>
          <w:szCs w:val="21"/>
          <w:highlight w:val="none"/>
          <w:lang w:val="en-US" w:eastAsia="zh-CN"/>
        </w:rPr>
        <w:t>中选</w:t>
      </w:r>
      <w:r>
        <w:rPr>
          <w:rFonts w:hint="eastAsia" w:ascii="宋体" w:hAnsi="宋体" w:eastAsia="宋体" w:cs="宋体"/>
          <w:sz w:val="21"/>
          <w:szCs w:val="21"/>
          <w:highlight w:val="none"/>
        </w:rPr>
        <w:t>后三日内将全部视频提供给</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进行筛查挑选。</w:t>
      </w:r>
    </w:p>
    <w:p w14:paraId="63925CD8">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10为保证系统的稳定性和安全性，所投软、硬件为统一品牌（提供承诺函，并加盖供应商公章）；为保障我院分诊导医系统的安全，</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人或所投品牌应提供网络安全等级保护测评报告关键页，且总测评指标符合项不低于200个，符合率不低于70%，测评分数不低于75分。（需提供第三方检测机构出具的检测报告关键页，并加盖供应商公章）。</w:t>
      </w:r>
    </w:p>
    <w:p w14:paraId="72458332">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3.1.</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为方便采购人统一管理，平稳升级，本次项目所投的软、硬件产品需</w:t>
      </w:r>
      <w:bookmarkStart w:id="3" w:name="_GoBack"/>
      <w:bookmarkEnd w:id="3"/>
      <w:r>
        <w:rPr>
          <w:rFonts w:hint="eastAsia" w:ascii="宋体" w:hAnsi="宋体" w:eastAsia="宋体" w:cs="宋体"/>
          <w:sz w:val="21"/>
          <w:szCs w:val="21"/>
          <w:highlight w:val="none"/>
        </w:rPr>
        <w:t>与采购人现有排队叫号系统进行无缝对接（开放源代码等），对接所需的一切费用由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承担。若实施过程中投标软、硬件无法兼容采购人现有排队叫号系统按虚假应标做出相应处理，产生的经济损失</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责任等全部由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承担（</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须在</w:t>
      </w:r>
      <w:r>
        <w:rPr>
          <w:rFonts w:hint="eastAsia" w:ascii="宋体" w:hAnsi="宋体" w:eastAsia="宋体" w:cs="宋体"/>
          <w:sz w:val="21"/>
          <w:szCs w:val="21"/>
          <w:highlight w:val="none"/>
          <w:lang w:val="en-US" w:eastAsia="zh-CN"/>
        </w:rPr>
        <w:t>参选</w:t>
      </w:r>
      <w:r>
        <w:rPr>
          <w:rFonts w:hint="eastAsia" w:ascii="宋体" w:hAnsi="宋体" w:eastAsia="宋体" w:cs="宋体"/>
          <w:sz w:val="21"/>
          <w:szCs w:val="21"/>
          <w:highlight w:val="none"/>
        </w:rPr>
        <w:t>文件提供承诺函，并加盖</w:t>
      </w:r>
      <w:r>
        <w:rPr>
          <w:rFonts w:hint="eastAsia" w:ascii="宋体" w:hAnsi="宋体" w:eastAsia="宋体"/>
          <w:bCs/>
          <w:kern w:val="0"/>
          <w:sz w:val="21"/>
          <w:szCs w:val="21"/>
          <w:highlight w:val="none"/>
        </w:rPr>
        <w:t>供应商公章</w:t>
      </w:r>
      <w:r>
        <w:rPr>
          <w:rFonts w:hint="eastAsia" w:ascii="宋体" w:hAnsi="宋体" w:eastAsia="宋体" w:cs="宋体"/>
          <w:sz w:val="21"/>
          <w:szCs w:val="21"/>
          <w:highlight w:val="none"/>
        </w:rPr>
        <w:t>）。</w:t>
      </w:r>
    </w:p>
    <w:p w14:paraId="12584125">
      <w:pPr>
        <w:numPr>
          <w:ilvl w:val="0"/>
          <w:numId w:val="0"/>
        </w:numPr>
        <w:suppressAutoHyphens/>
        <w:spacing w:line="360" w:lineRule="auto"/>
        <w:ind w:leftChars="0" w:firstLine="422" w:firstLineChars="200"/>
        <w:rPr>
          <w:rFonts w:hint="eastAsia" w:ascii="宋体" w:hAnsi="宋体" w:eastAsia="宋体" w:cs="宋体"/>
          <w:sz w:val="21"/>
          <w:szCs w:val="21"/>
          <w:highlight w:val="none"/>
        </w:rPr>
      </w:pPr>
      <w:r>
        <w:rPr>
          <w:rFonts w:hint="eastAsia" w:ascii="宋体" w:hAnsi="宋体" w:eastAsia="宋体"/>
          <w:b/>
          <w:bCs/>
          <w:sz w:val="21"/>
          <w:szCs w:val="21"/>
          <w:highlight w:val="none"/>
          <w:lang w:val="en-US" w:eastAsia="zh-CN"/>
        </w:rPr>
        <w:t>3.2</w:t>
      </w:r>
      <w:r>
        <w:rPr>
          <w:rFonts w:hint="eastAsia" w:ascii="宋体" w:hAnsi="宋体" w:eastAsia="宋体"/>
          <w:b/>
          <w:bCs/>
          <w:sz w:val="21"/>
          <w:szCs w:val="21"/>
          <w:highlight w:val="none"/>
        </w:rPr>
        <w:t>护士分诊台管理端软件</w:t>
      </w:r>
    </w:p>
    <w:p w14:paraId="788B6919">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3.2.1</w:t>
      </w:r>
      <w:r>
        <w:rPr>
          <w:rFonts w:hint="eastAsia" w:ascii="宋体" w:hAnsi="宋体" w:eastAsia="宋体" w:cs="宋体"/>
          <w:sz w:val="21"/>
          <w:szCs w:val="21"/>
          <w:highlight w:val="none"/>
        </w:rPr>
        <w:t>支持查看当前诊区的每个队列叫号情况（如：排队队列名称、候诊人数、已就诊人数、未到过号人数、当前队列最后一次呼叫的患者姓名、排队序号、呼叫医生或诊位、叫号时间等）。</w:t>
      </w:r>
    </w:p>
    <w:p w14:paraId="0626B6EA">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支持同步HIS系统中医生排班数据，并支持临时手动调整功能；支持编辑周期内医生排班功能，并支持对医生每天出诊情况进行手动调整；支持刷卡、扫描条码、手工录入等多种方式进行初诊患者签到、复诊患者二次签到、过号患者再报到、患者状态查询、患者排序调号、患者预约等；在普通号情况下，分诊台系统需支持将患者手动分配至指定医生或诊室下排队候诊。</w:t>
      </w:r>
    </w:p>
    <w:p w14:paraId="0C9B64CC">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系统需支持对“特殊”患者进行标识，并对此类患者进行优先就诊操作，例如老、幼、军人、离休等患者可优先就诊，同时叫号屏幕可显示此类患者标识，如“军”、“幼”等，并用其他颜色以示区别，打消其他患者疑虑。</w:t>
      </w:r>
    </w:p>
    <w:p w14:paraId="177269D8">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需要支持同一诊区下转诊功能，可将患者从一个队列转到另一个队列排队；需支持复诊（回诊）患者签到再次进入队列功能，同时可根据需求设置复诊插队策略，例如：优先插队、间隔插队；支持绿色通道（弃号）功能，可不经叫号直接就诊；支持过号患者签到再次进入队列功能，同时可根据需求设置过号患者优先就诊，延后就诊，延后就诊可设置延后位数。</w:t>
      </w:r>
    </w:p>
    <w:p w14:paraId="6F9D8663">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系统需支持记录护士上一步操作功能，主界面位置显示上一步护士操作信息。</w:t>
      </w:r>
    </w:p>
    <w:p w14:paraId="0F6464DD">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可实现当前所有就诊患者队列状态显示及检索，包括：科室的等候队列、已就诊队列、过号队列，医生/诊室的已就诊队列、过号队列等功能。</w:t>
      </w:r>
    </w:p>
    <w:p w14:paraId="14A595F9">
      <w:pPr>
        <w:keepNext w:val="0"/>
        <w:keepLines w:val="0"/>
        <w:pageBreakBefore w:val="0"/>
        <w:widowControl/>
        <w:suppressAutoHyphen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3.2.</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护士分诊台应具备基本的分诊操作功能，包括但不限于优先、转诊、挂起、延迟、绿色通道、复诊、批量报到等基本功能。（需提供具有CSTC或CNAS标志的第三方检测机构出具的检测报告复印件佐证，并加盖供应商公章）。</w:t>
      </w:r>
    </w:p>
    <w:p w14:paraId="755AF23B">
      <w:pPr>
        <w:numPr>
          <w:ilvl w:val="0"/>
          <w:numId w:val="0"/>
        </w:numPr>
        <w:suppressAutoHyphens/>
        <w:spacing w:line="360" w:lineRule="auto"/>
        <w:ind w:leftChars="0" w:firstLine="422" w:firstLineChars="200"/>
        <w:rPr>
          <w:rFonts w:hint="eastAsia" w:ascii="宋体" w:hAnsi="宋体" w:eastAsia="宋体" w:cs="宋体"/>
          <w:sz w:val="21"/>
          <w:szCs w:val="21"/>
          <w:highlight w:val="none"/>
        </w:rPr>
      </w:pPr>
      <w:r>
        <w:rPr>
          <w:rFonts w:hint="eastAsia" w:ascii="宋体" w:hAnsi="宋体" w:eastAsia="宋体"/>
          <w:b/>
          <w:sz w:val="21"/>
          <w:szCs w:val="21"/>
          <w:highlight w:val="none"/>
          <w:lang w:val="en-US" w:eastAsia="zh-CN"/>
        </w:rPr>
        <w:t>3.3</w:t>
      </w:r>
      <w:r>
        <w:rPr>
          <w:rFonts w:hint="eastAsia" w:ascii="宋体" w:hAnsi="宋体" w:eastAsia="宋体"/>
          <w:b/>
          <w:sz w:val="21"/>
          <w:szCs w:val="21"/>
          <w:highlight w:val="none"/>
        </w:rPr>
        <w:t>医生工作站客户端软件</w:t>
      </w:r>
    </w:p>
    <w:p w14:paraId="50B372CB">
      <w:pPr>
        <w:suppressAutoHyphen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3.3.1</w:t>
      </w:r>
      <w:r>
        <w:rPr>
          <w:rFonts w:hint="eastAsia" w:ascii="宋体" w:hAnsi="宋体" w:eastAsia="宋体" w:cs="宋体"/>
          <w:sz w:val="21"/>
          <w:szCs w:val="21"/>
          <w:highlight w:val="none"/>
        </w:rPr>
        <w:t>支持医生ID号登录</w:t>
      </w:r>
      <w:r>
        <w:rPr>
          <w:rFonts w:hint="eastAsia" w:ascii="宋体" w:hAnsi="宋体" w:eastAsia="宋体" w:cs="宋体"/>
          <w:sz w:val="21"/>
          <w:szCs w:val="21"/>
          <w:highlight w:val="none"/>
          <w:lang w:eastAsia="zh-CN"/>
        </w:rPr>
        <w:t>。</w:t>
      </w:r>
    </w:p>
    <w:p w14:paraId="7C5EFB69">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支持叫号、重呼、选呼三种呼叫方式；支持过号（呼叫未到）、诊结两种结束状态；支持暂离、停诊等状态切换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支持过号（呼叫未到）患者按规则自动重排，并可在后台统一设定诊区过号自动重排的次数；支持可选择呼叫过号患者就诊功能。</w:t>
      </w:r>
    </w:p>
    <w:p w14:paraId="65BE2BD2">
      <w:pPr>
        <w:suppressAutoHyphen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3.3.</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医生同时出诊多队列时,可自行设定多队列的呼叫策略</w:t>
      </w:r>
      <w:r>
        <w:rPr>
          <w:rFonts w:hint="eastAsia" w:ascii="宋体" w:hAnsi="宋体" w:eastAsia="宋体" w:cs="宋体"/>
          <w:sz w:val="21"/>
          <w:szCs w:val="21"/>
          <w:highlight w:val="none"/>
          <w:lang w:eastAsia="zh-CN"/>
        </w:rPr>
        <w:t>。</w:t>
      </w:r>
    </w:p>
    <w:p w14:paraId="3BE9BC0E">
      <w:pPr>
        <w:suppressAutoHyphens/>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3.3.</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支持功能按钮快捷键方式，可自定义设置快捷键</w:t>
      </w:r>
      <w:r>
        <w:rPr>
          <w:rFonts w:hint="eastAsia" w:ascii="宋体" w:hAnsi="宋体" w:eastAsia="宋体" w:cs="宋体"/>
          <w:sz w:val="21"/>
          <w:szCs w:val="21"/>
          <w:highlight w:val="none"/>
          <w:lang w:eastAsia="zh-CN"/>
        </w:rPr>
        <w:t>。</w:t>
      </w:r>
    </w:p>
    <w:p w14:paraId="168C7863">
      <w:pPr>
        <w:suppressAutoHyphens/>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支持无等候患者状态下，新患者签到提醒</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同一患者排多个队列，被呼叫时其他队列自动跳过该患者呼叫，诊结后才能对其他队列进行呼叫。</w:t>
      </w:r>
    </w:p>
    <w:p w14:paraId="0CA8290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医生端虚拟叫号器软件，需支持包含但不限于呼叫、诊结、过号、重呼、停诊功能。（需提供具有CSTC或CNAS标志的第三方检测机构出具的检测报告复印件佐证，并加盖</w:t>
      </w:r>
      <w:r>
        <w:rPr>
          <w:rFonts w:hint="eastAsia" w:ascii="宋体" w:hAnsi="宋体" w:eastAsia="宋体"/>
          <w:bCs/>
          <w:kern w:val="0"/>
          <w:sz w:val="21"/>
          <w:szCs w:val="21"/>
          <w:highlight w:val="none"/>
        </w:rPr>
        <w:t>供应商公章</w:t>
      </w:r>
      <w:r>
        <w:rPr>
          <w:rFonts w:hint="eastAsia" w:ascii="宋体" w:hAnsi="宋体" w:eastAsia="宋体" w:cs="宋体"/>
          <w:sz w:val="21"/>
          <w:szCs w:val="21"/>
          <w:highlight w:val="none"/>
        </w:rPr>
        <w:t>）。</w:t>
      </w:r>
    </w:p>
    <w:p w14:paraId="686340E4">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3.4技术服务</w:t>
      </w:r>
      <w:bookmarkStart w:id="2" w:name="OLE_LINK5"/>
      <w:r>
        <w:rPr>
          <w:rFonts w:hint="eastAsia" w:ascii="宋体" w:hAnsi="宋体" w:eastAsia="宋体" w:cs="宋体"/>
          <w:sz w:val="21"/>
          <w:szCs w:val="21"/>
          <w:highlight w:val="none"/>
          <w:lang w:val="en-US" w:eastAsia="zh-CN"/>
        </w:rPr>
        <w:t>：</w:t>
      </w:r>
      <w:r>
        <w:rPr>
          <w:rFonts w:hint="eastAsia" w:ascii="宋体" w:hAnsi="宋体" w:eastAsia="宋体"/>
          <w:bCs/>
          <w:sz w:val="21"/>
          <w:szCs w:val="21"/>
          <w:highlight w:val="none"/>
        </w:rPr>
        <w:t>HIS系统对接接口费；含硬件11个信息点安装人工布线，屏幕调试、网络配置调试，软件调试等</w:t>
      </w:r>
      <w:bookmarkEnd w:id="2"/>
      <w:r>
        <w:rPr>
          <w:rFonts w:hint="eastAsia" w:ascii="宋体" w:hAnsi="宋体" w:eastAsia="宋体"/>
          <w:bCs/>
          <w:sz w:val="21"/>
          <w:szCs w:val="21"/>
          <w:highlight w:val="none"/>
        </w:rPr>
        <w:t>技术服务</w:t>
      </w:r>
      <w:r>
        <w:rPr>
          <w:rFonts w:hint="eastAsia" w:ascii="宋体" w:hAnsi="宋体" w:eastAsia="宋体"/>
          <w:bCs/>
          <w:sz w:val="21"/>
          <w:szCs w:val="21"/>
          <w:highlight w:val="none"/>
          <w:lang w:eastAsia="zh-CN"/>
        </w:rPr>
        <w:t>；</w:t>
      </w:r>
      <w:r>
        <w:rPr>
          <w:rFonts w:hint="eastAsia" w:ascii="宋体" w:hAnsi="宋体" w:eastAsia="宋体"/>
          <w:bCs/>
          <w:sz w:val="21"/>
          <w:szCs w:val="21"/>
          <w:highlight w:val="none"/>
          <w:lang w:val="en-US" w:eastAsia="zh-CN"/>
        </w:rPr>
        <w:t>以上所产生的费用包含在报价中。</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color w:val="auto"/>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所参选产品的授权文件，在合同签订限期内未能提供的，采购人有权拒绝签订合同。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w:t>
      </w:r>
      <w:r>
        <w:rPr>
          <w:rFonts w:hint="eastAsia" w:ascii="宋体" w:hAnsi="宋体" w:cs="Times New Roman"/>
          <w:bCs/>
          <w:color w:val="auto"/>
          <w:szCs w:val="21"/>
          <w:highlight w:val="none"/>
          <w:lang w:val="en-US" w:eastAsia="zh-CN"/>
        </w:rPr>
        <w:t>保证所供产品是原厂的全新产品，均为正货，是参选的型号</w:t>
      </w:r>
      <w:r>
        <w:rPr>
          <w:rFonts w:ascii="宋体" w:hAnsi="宋体" w:eastAsia="宋体" w:cs="仿宋"/>
          <w:spacing w:val="-5"/>
          <w:sz w:val="21"/>
          <w:szCs w:val="21"/>
          <w:highlight w:val="none"/>
        </w:rPr>
        <w:t>。</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产品</w:t>
      </w:r>
      <w:r>
        <w:rPr>
          <w:rFonts w:hint="eastAsia" w:ascii="宋体" w:hAnsi="宋体" w:eastAsia="宋体" w:cs="宋体"/>
          <w:i w:val="0"/>
          <w:iCs w:val="0"/>
          <w:color w:val="auto"/>
          <w:kern w:val="0"/>
          <w:sz w:val="21"/>
          <w:szCs w:val="21"/>
          <w:highlight w:val="none"/>
          <w:u w:val="none"/>
          <w:lang w:val="en-US" w:eastAsia="zh-CN" w:bidi="ar"/>
        </w:rPr>
        <w:t>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w:t>
      </w:r>
      <w:r>
        <w:rPr>
          <w:rFonts w:hint="eastAsia" w:ascii="Calibri" w:hAnsi="Calibri" w:cs="Times New Roman"/>
          <w:sz w:val="21"/>
          <w:highlight w:val="none"/>
          <w:lang w:val="en-US" w:eastAsia="zh-CN"/>
        </w:rPr>
        <w:t>产品</w:t>
      </w:r>
      <w:r>
        <w:rPr>
          <w:rFonts w:ascii="Calibri" w:hAnsi="Calibri" w:eastAsia="宋体" w:cs="Times New Roman"/>
          <w:sz w:val="21"/>
          <w:highlight w:val="none"/>
        </w:rPr>
        <w:t>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w:t>
      </w:r>
      <w:r>
        <w:rPr>
          <w:rFonts w:hint="eastAsia" w:ascii="Calibri" w:hAnsi="Calibri" w:cs="Times New Roman"/>
          <w:sz w:val="21"/>
          <w:highlight w:val="none"/>
          <w:lang w:val="en-US" w:eastAsia="zh-CN"/>
        </w:rPr>
        <w:t>产品</w:t>
      </w:r>
      <w:r>
        <w:rPr>
          <w:rFonts w:ascii="Calibri" w:hAnsi="Calibri" w:eastAsia="宋体" w:cs="Times New Roman"/>
          <w:sz w:val="21"/>
          <w:highlight w:val="none"/>
        </w:rPr>
        <w:t>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w:t>
      </w:r>
      <w:r>
        <w:rPr>
          <w:rFonts w:hint="eastAsia" w:ascii="Calibri" w:hAnsi="Calibri" w:cs="Times New Roman"/>
          <w:sz w:val="21"/>
          <w:highlight w:val="none"/>
          <w:lang w:val="en-US" w:eastAsia="zh-CN"/>
        </w:rPr>
        <w:t>产品</w:t>
      </w:r>
      <w:r>
        <w:rPr>
          <w:rFonts w:ascii="Calibri" w:hAnsi="Calibri" w:eastAsia="宋体" w:cs="Times New Roman"/>
          <w:sz w:val="21"/>
          <w:highlight w:val="none"/>
        </w:rPr>
        <w:t>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w:t>
      </w:r>
      <w:r>
        <w:rPr>
          <w:rFonts w:hint="eastAsia" w:ascii="Calibri" w:hAnsi="Calibri" w:cs="Times New Roman"/>
          <w:sz w:val="21"/>
          <w:highlight w:val="none"/>
          <w:lang w:val="en-US" w:eastAsia="zh-CN"/>
        </w:rPr>
        <w:t>产品</w:t>
      </w:r>
      <w:r>
        <w:rPr>
          <w:rFonts w:hint="eastAsia" w:ascii="Calibri" w:hAnsi="Calibri" w:eastAsia="宋体" w:cs="Times New Roman"/>
          <w:sz w:val="21"/>
          <w:highlight w:val="none"/>
          <w:lang w:val="en-US" w:eastAsia="zh-CN"/>
        </w:rPr>
        <w:t>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w:t>
      </w:r>
      <w:r>
        <w:rPr>
          <w:rFonts w:hint="eastAsia" w:ascii="Calibri" w:hAnsi="Calibri" w:cs="Times New Roman"/>
          <w:sz w:val="21"/>
          <w:highlight w:val="none"/>
          <w:lang w:val="en-US" w:eastAsia="zh-CN"/>
        </w:rPr>
        <w:t>产品</w:t>
      </w:r>
      <w:r>
        <w:rPr>
          <w:rFonts w:hint="eastAsia" w:ascii="Calibri" w:hAnsi="Calibri" w:cs="Times New Roman"/>
          <w:sz w:val="21"/>
          <w:highlight w:val="none"/>
          <w:lang w:eastAsia="zh-CN"/>
        </w:rPr>
        <w:t>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w:t>
      </w:r>
      <w:r>
        <w:rPr>
          <w:rFonts w:hint="eastAsia" w:ascii="Calibri" w:hAnsi="Calibri" w:cs="Times New Roman"/>
          <w:sz w:val="21"/>
          <w:highlight w:val="none"/>
          <w:lang w:val="en-US" w:eastAsia="zh-CN"/>
        </w:rPr>
        <w:t>产品</w:t>
      </w:r>
      <w:r>
        <w:rPr>
          <w:rFonts w:hint="eastAsia" w:ascii="Calibri" w:hAnsi="Calibri" w:cs="Times New Roman"/>
          <w:sz w:val="21"/>
          <w:highlight w:val="none"/>
          <w:lang w:eastAsia="zh-CN"/>
        </w:rPr>
        <w:t>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w:t>
      </w:r>
      <w:r>
        <w:rPr>
          <w:rFonts w:hint="eastAsia" w:ascii="Calibri" w:hAnsi="Calibri" w:cs="Times New Roman"/>
          <w:sz w:val="21"/>
          <w:highlight w:val="none"/>
          <w:lang w:val="en-US" w:eastAsia="zh-CN"/>
        </w:rPr>
        <w:t>产品</w:t>
      </w:r>
      <w:r>
        <w:rPr>
          <w:rFonts w:hint="eastAsia" w:ascii="宋体" w:hAnsi="宋体" w:eastAsia="宋体" w:cs="宋体"/>
          <w:i w:val="0"/>
          <w:iCs w:val="0"/>
          <w:color w:val="auto"/>
          <w:kern w:val="0"/>
          <w:sz w:val="21"/>
          <w:szCs w:val="21"/>
          <w:highlight w:val="none"/>
          <w:u w:val="none"/>
          <w:lang w:val="en-US" w:eastAsia="zh-CN" w:bidi="ar"/>
        </w:rPr>
        <w:t>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w:t>
      </w:r>
      <w:r>
        <w:rPr>
          <w:rFonts w:hint="eastAsia" w:ascii="Calibri" w:hAnsi="Calibri" w:cs="Times New Roman"/>
          <w:sz w:val="21"/>
          <w:highlight w:val="none"/>
          <w:lang w:val="en-US" w:eastAsia="zh-CN"/>
        </w:rPr>
        <w:t>产品</w:t>
      </w:r>
      <w:r>
        <w:rPr>
          <w:rFonts w:hint="eastAsia" w:ascii="宋体" w:hAnsi="宋体" w:eastAsia="宋体" w:cs="宋体"/>
          <w:i w:val="0"/>
          <w:iCs w:val="0"/>
          <w:color w:val="auto"/>
          <w:kern w:val="0"/>
          <w:sz w:val="21"/>
          <w:szCs w:val="21"/>
          <w:highlight w:val="none"/>
          <w:u w:val="none"/>
          <w:lang w:val="en-US" w:eastAsia="zh-CN" w:bidi="ar"/>
        </w:rPr>
        <w:t>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w:t>
      </w:r>
      <w:r>
        <w:rPr>
          <w:rFonts w:hint="eastAsia" w:ascii="Calibri" w:hAnsi="Calibri" w:cs="Times New Roman"/>
          <w:sz w:val="21"/>
          <w:highlight w:val="none"/>
          <w:lang w:val="en-US" w:eastAsia="zh-CN"/>
        </w:rPr>
        <w:t>产品</w:t>
      </w:r>
      <w:r>
        <w:rPr>
          <w:rFonts w:hint="eastAsia" w:ascii="宋体" w:hAnsi="宋体" w:eastAsia="宋体" w:cs="宋体"/>
          <w:i w:val="0"/>
          <w:iCs w:val="0"/>
          <w:color w:val="auto"/>
          <w:kern w:val="0"/>
          <w:sz w:val="21"/>
          <w:szCs w:val="21"/>
          <w:highlight w:val="none"/>
          <w:u w:val="none"/>
          <w:lang w:val="en-US" w:eastAsia="zh-CN" w:bidi="ar"/>
        </w:rPr>
        <w:t>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24496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提供</w:t>
      </w:r>
      <w:r>
        <w:rPr>
          <w:rFonts w:hint="eastAsia" w:ascii="宋体" w:hAnsi="宋体" w:cs="宋体"/>
          <w:i w:val="0"/>
          <w:iCs w:val="0"/>
          <w:color w:val="auto"/>
          <w:kern w:val="0"/>
          <w:sz w:val="21"/>
          <w:szCs w:val="21"/>
          <w:highlight w:val="none"/>
          <w:u w:val="none"/>
          <w:lang w:val="en-US" w:eastAsia="zh-CN" w:bidi="ar"/>
        </w:rPr>
        <w:t>不少于</w:t>
      </w:r>
      <w:r>
        <w:rPr>
          <w:rFonts w:hint="eastAsia" w:ascii="宋体" w:hAnsi="宋体" w:eastAsia="宋体" w:cs="宋体"/>
          <w:i w:val="0"/>
          <w:iCs w:val="0"/>
          <w:color w:val="auto"/>
          <w:kern w:val="0"/>
          <w:sz w:val="21"/>
          <w:szCs w:val="21"/>
          <w:highlight w:val="none"/>
          <w:u w:val="none"/>
          <w:lang w:val="en-US" w:eastAsia="zh-CN" w:bidi="ar"/>
        </w:rPr>
        <w:t>1年</w:t>
      </w:r>
      <w:r>
        <w:rPr>
          <w:rFonts w:hint="eastAsia" w:ascii="宋体" w:hAnsi="宋体" w:cs="宋体"/>
          <w:i w:val="0"/>
          <w:iCs w:val="0"/>
          <w:color w:val="auto"/>
          <w:kern w:val="0"/>
          <w:sz w:val="21"/>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原厂质量保修服务。</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w:t>
      </w:r>
      <w:r>
        <w:rPr>
          <w:rFonts w:hint="eastAsia" w:ascii="Calibri" w:hAnsi="Calibri" w:cs="Times New Roman"/>
          <w:sz w:val="21"/>
          <w:highlight w:val="none"/>
          <w:lang w:val="en-US" w:eastAsia="zh-CN"/>
        </w:rPr>
        <w:t>产品</w:t>
      </w:r>
      <w:r>
        <w:rPr>
          <w:rFonts w:hint="eastAsia" w:ascii="宋体" w:hAnsi="宋体" w:cs="宋体"/>
          <w:i w:val="0"/>
          <w:iCs w:val="0"/>
          <w:color w:val="auto"/>
          <w:kern w:val="0"/>
          <w:sz w:val="21"/>
          <w:szCs w:val="21"/>
          <w:highlight w:val="none"/>
          <w:u w:val="none"/>
          <w:lang w:val="en-US" w:eastAsia="zh-CN" w:bidi="ar"/>
        </w:rPr>
        <w:t>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7.售后服务的要求：供应商</w:t>
      </w:r>
      <w:r>
        <w:rPr>
          <w:rFonts w:hint="eastAsia" w:ascii="宋体" w:hAnsi="宋体" w:eastAsia="宋体"/>
          <w:spacing w:val="-5"/>
          <w:sz w:val="21"/>
          <w:szCs w:val="21"/>
          <w:lang w:val="en-US" w:eastAsia="zh-CN"/>
        </w:rPr>
        <w:t>在质保期内</w:t>
      </w:r>
      <w:r>
        <w:rPr>
          <w:rFonts w:hint="eastAsia" w:ascii="宋体" w:hAnsi="宋体" w:eastAsia="宋体"/>
          <w:spacing w:val="-5"/>
          <w:sz w:val="21"/>
          <w:szCs w:val="21"/>
          <w:lang w:eastAsia="zh-CN"/>
        </w:rPr>
        <w:t>提供</w:t>
      </w:r>
      <w:r>
        <w:rPr>
          <w:rFonts w:hint="eastAsia" w:ascii="宋体" w:hAnsi="宋体" w:eastAsia="宋体"/>
          <w:spacing w:val="-5"/>
          <w:sz w:val="21"/>
          <w:szCs w:val="21"/>
          <w:lang w:val="en-US" w:eastAsia="zh-CN"/>
        </w:rPr>
        <w:t>2</w:t>
      </w:r>
      <w:r>
        <w:rPr>
          <w:rFonts w:hint="eastAsia" w:ascii="宋体" w:hAnsi="宋体" w:eastAsia="宋体"/>
          <w:spacing w:val="-5"/>
          <w:sz w:val="21"/>
          <w:szCs w:val="21"/>
          <w:lang w:eastAsia="zh-CN"/>
        </w:rPr>
        <w:t>次</w:t>
      </w:r>
      <w:r>
        <w:rPr>
          <w:rFonts w:hint="eastAsia" w:ascii="宋体" w:hAnsi="宋体"/>
          <w:spacing w:val="-5"/>
          <w:sz w:val="21"/>
          <w:szCs w:val="21"/>
          <w:lang w:val="en-US" w:eastAsia="zh-CN"/>
        </w:rPr>
        <w:t>免费</w:t>
      </w:r>
      <w:r>
        <w:rPr>
          <w:rFonts w:hint="eastAsia" w:ascii="宋体" w:hAnsi="宋体" w:eastAsia="宋体"/>
          <w:spacing w:val="-5"/>
          <w:sz w:val="21"/>
          <w:szCs w:val="21"/>
          <w:lang w:eastAsia="zh-CN"/>
        </w:rPr>
        <w:t>对</w:t>
      </w:r>
      <w:r>
        <w:rPr>
          <w:rFonts w:hint="eastAsia" w:ascii="Calibri" w:hAnsi="Calibri" w:cs="Times New Roman"/>
          <w:sz w:val="21"/>
          <w:highlight w:val="none"/>
          <w:lang w:val="en-US" w:eastAsia="zh-CN"/>
        </w:rPr>
        <w:t>产品</w:t>
      </w:r>
      <w:r>
        <w:rPr>
          <w:rFonts w:hint="eastAsia" w:ascii="宋体" w:hAnsi="宋体" w:eastAsia="宋体"/>
          <w:spacing w:val="-5"/>
          <w:sz w:val="21"/>
          <w:szCs w:val="21"/>
          <w:lang w:eastAsia="zh-CN"/>
        </w:rPr>
        <w:t>进行运维巡检。</w:t>
      </w:r>
      <w:r>
        <w:rPr>
          <w:rFonts w:hint="eastAsia" w:ascii="宋体" w:hAnsi="宋体" w:cs="宋体"/>
          <w:i w:val="0"/>
          <w:iCs w:val="0"/>
          <w:color w:val="auto"/>
          <w:kern w:val="0"/>
          <w:sz w:val="21"/>
          <w:szCs w:val="21"/>
          <w:highlight w:val="none"/>
          <w:u w:val="none"/>
          <w:lang w:val="en-US" w:eastAsia="zh-CN" w:bidi="ar"/>
        </w:rPr>
        <w:t>维修保修期满,供应商终身提供维修服务，不收取上门费,只收取配件等相关成本费用。仪器出现问题时于1小时内响应，2小时内赶赴现场，24小时内解决故障</w:t>
      </w:r>
      <w:r>
        <w:rPr>
          <w:rFonts w:hint="eastAsia" w:ascii="宋体" w:hAnsi="宋体" w:eastAsia="宋体" w:cs="宋体"/>
          <w:i w:val="0"/>
          <w:iCs w:val="0"/>
          <w:color w:val="auto"/>
          <w:kern w:val="0"/>
          <w:sz w:val="21"/>
          <w:szCs w:val="21"/>
          <w:highlight w:val="none"/>
          <w:u w:val="none"/>
          <w:lang w:val="en-US" w:eastAsia="zh-CN" w:bidi="ar"/>
        </w:rPr>
        <w:t>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EF3A67F">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供应商应具备《中华人民共和国政府采购法》第二十二条规定的条件</w:t>
      </w:r>
      <w:r>
        <w:rPr>
          <w:rFonts w:hint="eastAsia" w:ascii="宋体" w:hAnsi="宋体" w:eastAsia="宋体" w:cs="宋体"/>
          <w:color w:val="auto"/>
          <w:sz w:val="21"/>
          <w:szCs w:val="21"/>
          <w:highlight w:val="none"/>
          <w:lang w:val="en-US" w:eastAsia="zh-CN"/>
        </w:rPr>
        <w:t>（提供资格声明函）</w:t>
      </w:r>
      <w:r>
        <w:rPr>
          <w:rFonts w:hint="eastAsia" w:ascii="宋体" w:hAnsi="宋体" w:cs="宋体"/>
          <w:color w:val="auto"/>
          <w:sz w:val="21"/>
          <w:szCs w:val="21"/>
          <w:highlight w:val="none"/>
          <w:lang w:eastAsia="zh-CN"/>
        </w:rPr>
        <w:t>。</w:t>
      </w:r>
    </w:p>
    <w:p w14:paraId="10CB3327">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供应商须具备相关经营范围</w:t>
      </w:r>
      <w:r>
        <w:rPr>
          <w:rFonts w:hint="eastAsia" w:ascii="宋体" w:hAnsi="宋体" w:cs="宋体"/>
          <w:color w:val="auto"/>
          <w:sz w:val="21"/>
          <w:szCs w:val="21"/>
          <w:highlight w:val="none"/>
          <w:lang w:val="en-US" w:eastAsia="zh-CN"/>
        </w:rPr>
        <w:t>且有效的营业执照</w:t>
      </w:r>
      <w:r>
        <w:rPr>
          <w:rFonts w:hint="eastAsia" w:ascii="宋体" w:hAnsi="宋体" w:eastAsia="宋体" w:cs="宋体"/>
          <w:color w:val="auto"/>
          <w:sz w:val="21"/>
          <w:szCs w:val="21"/>
          <w:highlight w:val="none"/>
        </w:rPr>
        <w:t>（提供证明材料复印件加盖供应商公章）。</w:t>
      </w:r>
    </w:p>
    <w:p w14:paraId="0630AF33">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D95D5CD">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本项目不接受联合体投标，且不允许转包或分包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p>
    <w:p w14:paraId="19B08C64">
      <w:pPr>
        <w:keepNext w:val="0"/>
        <w:keepLines w:val="0"/>
        <w:pageBreakBefore w:val="0"/>
        <w:numPr>
          <w:ilvl w:val="0"/>
          <w:numId w:val="2"/>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0E798D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rPr>
        <w:t>为</w:t>
      </w:r>
      <w:r>
        <w:rPr>
          <w:rFonts w:hint="eastAsia" w:ascii="宋体" w:hAnsi="宋体" w:eastAsia="宋体" w:cs="宋体"/>
          <w:color w:val="auto"/>
          <w:sz w:val="21"/>
          <w:szCs w:val="21"/>
          <w:highlight w:val="none"/>
        </w:rPr>
        <w:t>本项目提供整体设计、规范编制或者项目管理、监理、检测等服务的供应商，不得再参与本项目投标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提供资格声明函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3"/>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78CABC3D">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5DA12C82">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AED9136">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07D817EE">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670D95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3ECB6B0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44FC2B18">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6689FEA4">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AF8A69">
      <w:pPr>
        <w:pStyle w:val="9"/>
        <w:keepNext w:val="0"/>
        <w:keepLines w:val="0"/>
        <w:pageBreakBefore w:val="0"/>
        <w:numPr>
          <w:ilvl w:val="0"/>
          <w:numId w:val="4"/>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3C5B2DB9">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54B482DB">
      <w:pPr>
        <w:pStyle w:val="9"/>
        <w:keepNext w:val="0"/>
        <w:keepLines w:val="0"/>
        <w:pageBreakBefore w:val="0"/>
        <w:numPr>
          <w:ilvl w:val="0"/>
          <w:numId w:val="4"/>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6A0A519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3B40DD4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9B7B1B5">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8E583A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28BB148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65963CE2">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22102E34">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(65分)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rPr>
              <w:t>=一般条款响应程度得分（按四舍五入保留两位）。）</w:t>
            </w:r>
          </w:p>
          <w:p w14:paraId="0CDDFC01">
            <w:pPr>
              <w:numPr>
                <w:ilvl w:val="0"/>
                <w:numId w:val="5"/>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注：本项满分为65分，以采购需求书中要求提供（如有）的证明材料作为评审依据，未按要求提供不得分。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或所供产品</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和所供产品</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w:t>
            </w:r>
            <w:r>
              <w:rPr>
                <w:rFonts w:hint="eastAsia" w:asciiTheme="minorEastAsia" w:hAnsiTheme="minorEastAsia" w:cstheme="minorEastAsia"/>
                <w:sz w:val="21"/>
                <w:szCs w:val="21"/>
                <w:highlight w:val="none"/>
                <w:lang w:val="en-US" w:eastAsia="zh-CN"/>
              </w:rPr>
              <w:t>所供产品基本</w:t>
            </w:r>
            <w:r>
              <w:rPr>
                <w:rFonts w:hint="eastAsia" w:asciiTheme="minorEastAsia" w:hAnsiTheme="minorEastAsia" w:eastAsiaTheme="minorEastAsia" w:cstheme="minorEastAsia"/>
                <w:sz w:val="21"/>
                <w:szCs w:val="21"/>
                <w:highlight w:val="none"/>
                <w:lang w:val="en-US" w:eastAsia="zh-CN"/>
              </w:rPr>
              <w:t>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cstheme="minorEastAsia"/>
                <w:sz w:val="21"/>
                <w:szCs w:val="21"/>
                <w:highlight w:val="none"/>
                <w:lang w:val="en-US" w:eastAsia="zh-CN"/>
              </w:rPr>
              <w:t>所供产品</w:t>
            </w:r>
            <w:r>
              <w:rPr>
                <w:rFonts w:hint="eastAsia" w:asciiTheme="minorEastAsia" w:hAnsiTheme="minorEastAsia" w:eastAsiaTheme="minorEastAsia" w:cstheme="minorEastAsia"/>
                <w:sz w:val="21"/>
                <w:szCs w:val="21"/>
                <w:highlight w:val="none"/>
                <w:lang w:val="en-US" w:eastAsia="zh-CN"/>
              </w:rPr>
              <w:t>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DF27"/>
    <w:multiLevelType w:val="singleLevel"/>
    <w:tmpl w:val="BFDEDF27"/>
    <w:lvl w:ilvl="0" w:tentative="0">
      <w:start w:val="2"/>
      <w:numFmt w:val="decimal"/>
      <w:lvlText w:val="%1."/>
      <w:lvlJc w:val="left"/>
      <w:pPr>
        <w:tabs>
          <w:tab w:val="left" w:pos="312"/>
        </w:tabs>
      </w:p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07222F89"/>
    <w:multiLevelType w:val="singleLevel"/>
    <w:tmpl w:val="07222F89"/>
    <w:lvl w:ilvl="0" w:tentative="0">
      <w:start w:val="1"/>
      <w:numFmt w:val="chineseCounting"/>
      <w:suff w:val="nothing"/>
      <w:lvlText w:val="（%1）"/>
      <w:lvlJc w:val="left"/>
      <w:rPr>
        <w:rFonts w:hint="eastAsia"/>
      </w:rPr>
    </w:lvl>
  </w:abstractNum>
  <w:abstractNum w:abstractNumId="3">
    <w:nsid w:val="25AC67AC"/>
    <w:multiLevelType w:val="singleLevel"/>
    <w:tmpl w:val="25AC67AC"/>
    <w:lvl w:ilvl="0" w:tentative="0">
      <w:start w:val="1"/>
      <w:numFmt w:val="chineseCounting"/>
      <w:suff w:val="nothing"/>
      <w:lvlText w:val="（%1）"/>
      <w:lvlJc w:val="left"/>
      <w:rPr>
        <w:rFonts w:hint="eastAsia"/>
      </w:rPr>
    </w:lvl>
  </w:abstractNum>
  <w:abstractNum w:abstractNumId="4">
    <w:nsid w:val="37C86125"/>
    <w:multiLevelType w:val="singleLevel"/>
    <w:tmpl w:val="37C86125"/>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6AF68E3"/>
    <w:rsid w:val="17AD667F"/>
    <w:rsid w:val="192C5FA8"/>
    <w:rsid w:val="19C23FFF"/>
    <w:rsid w:val="1ACB09B1"/>
    <w:rsid w:val="1B902BD0"/>
    <w:rsid w:val="1D1A254A"/>
    <w:rsid w:val="1DAB3FD6"/>
    <w:rsid w:val="1E431A19"/>
    <w:rsid w:val="20BF43BB"/>
    <w:rsid w:val="21316930"/>
    <w:rsid w:val="219C3D3D"/>
    <w:rsid w:val="21E441D2"/>
    <w:rsid w:val="23093591"/>
    <w:rsid w:val="241A2687"/>
    <w:rsid w:val="253202CD"/>
    <w:rsid w:val="27752D91"/>
    <w:rsid w:val="29B10698"/>
    <w:rsid w:val="2C4E34C1"/>
    <w:rsid w:val="2CB27DEF"/>
    <w:rsid w:val="2F942FD1"/>
    <w:rsid w:val="32301FF4"/>
    <w:rsid w:val="32862630"/>
    <w:rsid w:val="33AD6EE0"/>
    <w:rsid w:val="34D81478"/>
    <w:rsid w:val="35CE7A50"/>
    <w:rsid w:val="39E61657"/>
    <w:rsid w:val="3A822C5D"/>
    <w:rsid w:val="3AEB754D"/>
    <w:rsid w:val="3C11515E"/>
    <w:rsid w:val="3C545C86"/>
    <w:rsid w:val="3D064E51"/>
    <w:rsid w:val="3D0E2820"/>
    <w:rsid w:val="410F24F8"/>
    <w:rsid w:val="41B868E9"/>
    <w:rsid w:val="4590354A"/>
    <w:rsid w:val="47977F8E"/>
    <w:rsid w:val="488A14A0"/>
    <w:rsid w:val="492E32BC"/>
    <w:rsid w:val="49FB0CA3"/>
    <w:rsid w:val="4A612ED3"/>
    <w:rsid w:val="4AE91161"/>
    <w:rsid w:val="4B55323A"/>
    <w:rsid w:val="4C9854C5"/>
    <w:rsid w:val="4E534068"/>
    <w:rsid w:val="4ED176DC"/>
    <w:rsid w:val="4F183C27"/>
    <w:rsid w:val="4FA2515B"/>
    <w:rsid w:val="52D05187"/>
    <w:rsid w:val="53BE1870"/>
    <w:rsid w:val="54FD72FC"/>
    <w:rsid w:val="557E41CD"/>
    <w:rsid w:val="55DF5D85"/>
    <w:rsid w:val="57A26C6F"/>
    <w:rsid w:val="57A47613"/>
    <w:rsid w:val="5966506E"/>
    <w:rsid w:val="59761BA9"/>
    <w:rsid w:val="5AF56DED"/>
    <w:rsid w:val="5B8247AD"/>
    <w:rsid w:val="5BCA515F"/>
    <w:rsid w:val="5DDA7107"/>
    <w:rsid w:val="5E1B2766"/>
    <w:rsid w:val="5E4647B1"/>
    <w:rsid w:val="5FA04E1F"/>
    <w:rsid w:val="5FC6594D"/>
    <w:rsid w:val="60766E58"/>
    <w:rsid w:val="60802BED"/>
    <w:rsid w:val="61560A3B"/>
    <w:rsid w:val="62503D99"/>
    <w:rsid w:val="631B1778"/>
    <w:rsid w:val="63C44A60"/>
    <w:rsid w:val="642705C1"/>
    <w:rsid w:val="657038D9"/>
    <w:rsid w:val="66895538"/>
    <w:rsid w:val="676D3727"/>
    <w:rsid w:val="69D1193E"/>
    <w:rsid w:val="6A256A3F"/>
    <w:rsid w:val="6AD80A32"/>
    <w:rsid w:val="6E11703B"/>
    <w:rsid w:val="70C54A6B"/>
    <w:rsid w:val="71B92164"/>
    <w:rsid w:val="721D6DAF"/>
    <w:rsid w:val="72290B99"/>
    <w:rsid w:val="728C5C5D"/>
    <w:rsid w:val="729B2CA6"/>
    <w:rsid w:val="73314E5B"/>
    <w:rsid w:val="74C9421C"/>
    <w:rsid w:val="7535350C"/>
    <w:rsid w:val="76392FD2"/>
    <w:rsid w:val="773E0750"/>
    <w:rsid w:val="78C30A2E"/>
    <w:rsid w:val="795559D4"/>
    <w:rsid w:val="79B128AE"/>
    <w:rsid w:val="7C69286B"/>
    <w:rsid w:val="7D040732"/>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6202</Words>
  <Characters>6605</Characters>
  <Lines>0</Lines>
  <Paragraphs>0</Paragraphs>
  <TotalTime>10</TotalTime>
  <ScaleCrop>false</ScaleCrop>
  <LinksUpToDate>false</LinksUpToDate>
  <CharactersWithSpaces>6624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2025-09-03T03:48:00Z</cp:lastPrinted>
  <dcterms:modified xsi:type="dcterms:W3CDTF">2025-09-03T07:00:27Z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