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人证同一认证终端设备</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口腔种植机</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人证同一认证终端</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19,500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pPr w:leftFromText="180" w:rightFromText="180" w:vertAnchor="text" w:horzAnchor="page" w:tblpX="1652" w:tblpY="118"/>
        <w:tblOverlap w:val="never"/>
        <w:tblW w:w="43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8"/>
        <w:gridCol w:w="1373"/>
        <w:gridCol w:w="1701"/>
        <w:gridCol w:w="1767"/>
        <w:gridCol w:w="1500"/>
      </w:tblGrid>
      <w:tr w14:paraId="2E7F3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1351" w:type="pct"/>
            <w:noWrap w:val="0"/>
            <w:vAlign w:val="center"/>
          </w:tcPr>
          <w:p w14:paraId="4FB16E1A">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790" w:type="pct"/>
            <w:noWrap w:val="0"/>
            <w:vAlign w:val="center"/>
          </w:tcPr>
          <w:p w14:paraId="5F93257A">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979" w:type="pct"/>
            <w:noWrap w:val="0"/>
            <w:vAlign w:val="center"/>
          </w:tcPr>
          <w:p w14:paraId="7324883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1017" w:type="pct"/>
            <w:noWrap w:val="0"/>
            <w:vAlign w:val="center"/>
          </w:tcPr>
          <w:p w14:paraId="4CA09F9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860" w:type="pct"/>
            <w:noWrap w:val="0"/>
            <w:vAlign w:val="center"/>
          </w:tcPr>
          <w:p w14:paraId="0EFD587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进口产品</w:t>
            </w:r>
          </w:p>
        </w:tc>
      </w:tr>
      <w:tr w14:paraId="1A5B3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351" w:type="pct"/>
            <w:noWrap w:val="0"/>
            <w:vAlign w:val="center"/>
          </w:tcPr>
          <w:p w14:paraId="2B6DC74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人证同一认证终端设备</w:t>
            </w:r>
          </w:p>
        </w:tc>
        <w:tc>
          <w:tcPr>
            <w:tcW w:w="790" w:type="pct"/>
            <w:noWrap w:val="0"/>
            <w:vAlign w:val="center"/>
          </w:tcPr>
          <w:p w14:paraId="5E40813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979" w:type="pct"/>
            <w:noWrap w:val="0"/>
            <w:vAlign w:val="center"/>
          </w:tcPr>
          <w:p w14:paraId="4D1CCFC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19,500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17" w:type="pct"/>
            <w:noWrap w:val="0"/>
            <w:vAlign w:val="center"/>
          </w:tcPr>
          <w:p w14:paraId="19C6691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19,500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60" w:type="pct"/>
            <w:noWrap w:val="0"/>
            <w:vAlign w:val="center"/>
          </w:tcPr>
          <w:p w14:paraId="66F2F41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509D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5000" w:type="pct"/>
            <w:gridSpan w:val="5"/>
            <w:noWrap w:val="0"/>
            <w:vAlign w:val="center"/>
          </w:tcPr>
          <w:p w14:paraId="62568A21">
            <w:pPr>
              <w:keepNext w:val="0"/>
              <w:keepLines w:val="0"/>
              <w:pageBreakBefore w:val="0"/>
              <w:widowControl/>
              <w:suppressLineNumbers w:val="0"/>
              <w:kinsoku/>
              <w:overflowPunct/>
              <w:topLinePunct w:val="0"/>
              <w:bidi w:val="0"/>
              <w:spacing w:line="360" w:lineRule="exact"/>
              <w:ind w:left="0" w:leftChars="0" w:firstLine="0" w:firstLine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注：每套人证同一认证终端设备包括1台一体机终端和2部手持终端设备，须单独进行报价。</w:t>
            </w:r>
          </w:p>
        </w:tc>
      </w:tr>
    </w:tbl>
    <w:p w14:paraId="5922FAC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p>
    <w:p w14:paraId="3E32F1FF">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p>
    <w:p w14:paraId="5AB13B70">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p>
    <w:p w14:paraId="66CE94C5">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p>
    <w:p w14:paraId="41E8408D">
      <w:pPr>
        <w:keepNext w:val="0"/>
        <w:keepLines w:val="0"/>
        <w:pageBreakBefore w:val="0"/>
        <w:numPr>
          <w:ilvl w:val="0"/>
          <w:numId w:val="0"/>
        </w:numPr>
        <w:kinsoku/>
        <w:wordWrap/>
        <w:overflowPunct/>
        <w:topLinePunct w:val="0"/>
        <w:bidi w:val="0"/>
        <w:spacing w:line="360" w:lineRule="exact"/>
        <w:ind w:firstLine="632" w:firstLineChars="3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p>
    <w:p w14:paraId="10BA1405">
      <w:pPr>
        <w:keepNext w:val="0"/>
        <w:keepLines w:val="0"/>
        <w:pageBreakBefore w:val="0"/>
        <w:numPr>
          <w:ilvl w:val="0"/>
          <w:numId w:val="0"/>
        </w:numPr>
        <w:kinsoku/>
        <w:wordWrap/>
        <w:overflowPunct/>
        <w:topLinePunct w:val="0"/>
        <w:bidi w:val="0"/>
        <w:spacing w:line="360" w:lineRule="exact"/>
        <w:jc w:val="both"/>
        <w:rPr>
          <w:rFonts w:hint="eastAsia" w:ascii="宋体" w:hAnsi="宋体" w:cs="宋体"/>
          <w:b/>
          <w:bCs/>
          <w:color w:val="auto"/>
          <w:sz w:val="21"/>
          <w:szCs w:val="21"/>
          <w:highlight w:val="none"/>
          <w:lang w:val="en-US" w:eastAsia="zh-CN"/>
        </w:rPr>
      </w:pPr>
    </w:p>
    <w:p w14:paraId="6359E862">
      <w:pPr>
        <w:keepNext w:val="0"/>
        <w:keepLines w:val="0"/>
        <w:pageBreakBefore w:val="0"/>
        <w:numPr>
          <w:ilvl w:val="0"/>
          <w:numId w:val="0"/>
        </w:numPr>
        <w:kinsoku/>
        <w:wordWrap/>
        <w:overflowPunct/>
        <w:topLinePunct w:val="0"/>
        <w:bidi w:val="0"/>
        <w:spacing w:line="360" w:lineRule="exact"/>
        <w:ind w:firstLine="632" w:firstLineChars="3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21ABB475">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（一）用途</w:t>
      </w:r>
    </w:p>
    <w:p w14:paraId="5D844C14">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1.用于孕产妇保健服务过程中的人脸识别人证同一核验。</w:t>
      </w:r>
    </w:p>
    <w:p w14:paraId="3914735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（二）技术规格、参数及要求</w:t>
      </w:r>
    </w:p>
    <w:p w14:paraId="7EBBEB0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spacing w:val="1"/>
          <w:sz w:val="24"/>
          <w:szCs w:val="24"/>
          <w:lang w:eastAsia="zh-CN"/>
        </w:rPr>
        <w:t xml:space="preserve"> 一体机终端参数要求</w:t>
      </w:r>
    </w:p>
    <w:p w14:paraId="3DB55D4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 设备主副双屏集成一体化设计，不可分离，副屏可旋转。</w:t>
      </w:r>
    </w:p>
    <w:p w14:paraId="2015BBE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 处理器≥4核，主频≥2.0G，内存≥2G，采用Android系统，系统版本不低于安卓10。</w:t>
      </w:r>
    </w:p>
    <w:p w14:paraId="1FA5D32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 内置全新二代证阅读器符合GA450-2013台式居民身份证阅读器通用技术要求，支持ISO/IEC 14443A/B，阅读距离：0-30mm，读卡响应速度&lt;1s。支持二代证、港澳台居民身份证、2023版外国人永久居留证读取。</w:t>
      </w:r>
    </w:p>
    <w:p w14:paraId="2BFCE44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 内置指纹模块：符合公安部GA/T 1011-2012居民身份证指纹采集器通用技术要求。</w:t>
      </w:r>
    </w:p>
    <w:p w14:paraId="044CFE3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 主副屏支持电容屏并支持多点触控，屏幕≥10.1寸，分辨率≥1280x800。</w:t>
      </w:r>
    </w:p>
    <w:p w14:paraId="0E7FB2C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1.6 高清双目摄像头：分辨率≥200万像素，支持活体人脸比对，角度方向可调。 </w:t>
      </w:r>
    </w:p>
    <w:p w14:paraId="06F5FB1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 设备可实现异显异触，实现同显同触和异显异触。</w:t>
      </w:r>
    </w:p>
    <w:p w14:paraId="4D13F2B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 接口：USB2.0扩展口≥2，Micro USB≥1， TFcard*1，RJ451 个（10-1000M）自适应以太网口，支持扬声器、麦克风。</w:t>
      </w:r>
      <w:bookmarkStart w:id="1" w:name="_GoBack"/>
      <w:bookmarkEnd w:id="1"/>
      <w:r>
        <w:rPr>
          <w:rFonts w:hint="eastAsia" w:ascii="宋体" w:hAnsi="宋体" w:cs="宋体"/>
          <w:i w:val="0"/>
          <w:iCs w:val="0"/>
          <w:color w:val="auto"/>
          <w:kern w:val="0"/>
          <w:sz w:val="21"/>
          <w:szCs w:val="21"/>
          <w:highlight w:val="none"/>
          <w:u w:val="none"/>
          <w:lang w:val="en-US" w:eastAsia="zh-CN" w:bidi="ar"/>
        </w:rPr>
        <w:t>支持802.11b/g/n，2.4GHz标准WiFi。</w:t>
      </w:r>
    </w:p>
    <w:p w14:paraId="20BBB3E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 电源：物理电源开关，支持系统开关机。</w:t>
      </w:r>
    </w:p>
    <w:p w14:paraId="7E5E77B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1.10含嵌入式软件“人证核验软件”</w:t>
      </w:r>
    </w:p>
    <w:p w14:paraId="78C0245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★1.11 与中山市妇幼平台匹配对接认证结果。</w:t>
      </w:r>
    </w:p>
    <w:p w14:paraId="55D816F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手持终端设备参数要求</w:t>
      </w:r>
    </w:p>
    <w:p w14:paraId="770082CC">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2.1 </w:t>
      </w:r>
      <w:r>
        <w:rPr>
          <w:rFonts w:hint="eastAsia" w:ascii="宋体" w:hAnsi="宋体" w:eastAsia="宋体" w:cs="宋体"/>
          <w:bCs/>
          <w:color w:val="auto"/>
          <w:sz w:val="21"/>
          <w:szCs w:val="21"/>
          <w:highlight w:val="none"/>
          <w:lang w:val="en-US" w:eastAsia="zh-CN"/>
        </w:rPr>
        <w:t>处理器：MT8781，八核，2.2GHz</w:t>
      </w:r>
      <w:r>
        <w:rPr>
          <w:rFonts w:hint="eastAsia" w:ascii="宋体" w:hAnsi="宋体" w:cs="宋体"/>
          <w:bCs/>
          <w:color w:val="auto"/>
          <w:sz w:val="21"/>
          <w:szCs w:val="21"/>
          <w:highlight w:val="none"/>
          <w:lang w:val="en-US" w:eastAsia="zh-CN"/>
        </w:rPr>
        <w:t>。</w:t>
      </w:r>
    </w:p>
    <w:p w14:paraId="040418AD">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 xml:space="preserve">2 </w:t>
      </w:r>
      <w:r>
        <w:rPr>
          <w:rFonts w:hint="eastAsia" w:ascii="宋体" w:hAnsi="宋体" w:eastAsia="宋体" w:cs="宋体"/>
          <w:bCs/>
          <w:color w:val="auto"/>
          <w:sz w:val="21"/>
          <w:szCs w:val="21"/>
          <w:highlight w:val="none"/>
          <w:lang w:val="en-US" w:eastAsia="zh-CN"/>
        </w:rPr>
        <w:t>操作系统：Android13</w:t>
      </w:r>
      <w:r>
        <w:rPr>
          <w:rFonts w:hint="eastAsia" w:ascii="宋体" w:hAnsi="宋体" w:cs="宋体"/>
          <w:bCs/>
          <w:color w:val="auto"/>
          <w:sz w:val="21"/>
          <w:szCs w:val="21"/>
          <w:highlight w:val="none"/>
          <w:lang w:val="en-US" w:eastAsia="zh-CN"/>
        </w:rPr>
        <w:t>。</w:t>
      </w:r>
    </w:p>
    <w:p w14:paraId="0B4B46DB">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2.2.1 </w:t>
      </w:r>
      <w:r>
        <w:rPr>
          <w:rFonts w:hint="eastAsia" w:ascii="宋体" w:hAnsi="宋体" w:eastAsia="宋体" w:cs="宋体"/>
          <w:bCs/>
          <w:color w:val="auto"/>
          <w:sz w:val="21"/>
          <w:szCs w:val="21"/>
          <w:highlight w:val="none"/>
          <w:lang w:val="en-US" w:eastAsia="zh-CN"/>
        </w:rPr>
        <w:t>内存：RAM 4GB + ROM 64GB</w:t>
      </w:r>
      <w:r>
        <w:rPr>
          <w:rFonts w:hint="eastAsia" w:ascii="宋体" w:hAnsi="宋体" w:cs="宋体"/>
          <w:bCs/>
          <w:color w:val="auto"/>
          <w:sz w:val="21"/>
          <w:szCs w:val="21"/>
          <w:highlight w:val="none"/>
          <w:lang w:val="en-US" w:eastAsia="zh-CN"/>
        </w:rPr>
        <w:t>。</w:t>
      </w:r>
    </w:p>
    <w:p w14:paraId="74577CE5">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2.2.2 </w:t>
      </w:r>
      <w:r>
        <w:rPr>
          <w:rFonts w:hint="eastAsia" w:ascii="宋体" w:hAnsi="宋体" w:eastAsia="宋体" w:cs="宋体"/>
          <w:bCs/>
          <w:color w:val="auto"/>
          <w:sz w:val="21"/>
          <w:szCs w:val="21"/>
          <w:highlight w:val="none"/>
          <w:lang w:val="en-US" w:eastAsia="zh-CN"/>
        </w:rPr>
        <w:t>屏幕：5.99寸LCD，1080*2160分辨率；电容式 10 点触摸屏</w:t>
      </w:r>
      <w:r>
        <w:rPr>
          <w:rFonts w:hint="eastAsia" w:ascii="宋体" w:hAnsi="宋体" w:cs="宋体"/>
          <w:bCs/>
          <w:color w:val="auto"/>
          <w:sz w:val="21"/>
          <w:szCs w:val="21"/>
          <w:highlight w:val="none"/>
          <w:lang w:val="en-US" w:eastAsia="zh-CN"/>
        </w:rPr>
        <w:t>。</w:t>
      </w:r>
    </w:p>
    <w:p w14:paraId="59EB3768">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2.2.3 </w:t>
      </w:r>
      <w:r>
        <w:rPr>
          <w:rFonts w:hint="eastAsia" w:ascii="宋体" w:hAnsi="宋体" w:eastAsia="宋体" w:cs="宋体"/>
          <w:bCs/>
          <w:color w:val="auto"/>
          <w:sz w:val="21"/>
          <w:szCs w:val="21"/>
          <w:highlight w:val="none"/>
          <w:lang w:val="en-US" w:eastAsia="zh-CN"/>
        </w:rPr>
        <w:t>摄像头：后置1300万自动对焦摄像头，前置800万定焦摄像头</w:t>
      </w:r>
      <w:r>
        <w:rPr>
          <w:rFonts w:hint="eastAsia" w:ascii="宋体" w:hAnsi="宋体" w:cs="宋体"/>
          <w:bCs/>
          <w:color w:val="auto"/>
          <w:sz w:val="21"/>
          <w:szCs w:val="21"/>
          <w:highlight w:val="none"/>
          <w:lang w:val="en-US" w:eastAsia="zh-CN"/>
        </w:rPr>
        <w:t>。</w:t>
      </w:r>
    </w:p>
    <w:p w14:paraId="49F0A256">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2.2.4 </w:t>
      </w:r>
      <w:r>
        <w:rPr>
          <w:rFonts w:hint="eastAsia" w:ascii="宋体" w:hAnsi="宋体" w:eastAsia="宋体" w:cs="宋体"/>
          <w:bCs/>
          <w:color w:val="auto"/>
          <w:sz w:val="21"/>
          <w:szCs w:val="21"/>
          <w:highlight w:val="none"/>
          <w:lang w:val="en-US" w:eastAsia="zh-CN"/>
        </w:rPr>
        <w:t>通讯模块：4G全网通，支持VPN；WIFI双频2.4GHz/5GHz， 支持IEEE 802 a/b/g/n/ac协议；蓝牙BT5.0，支持BLE</w:t>
      </w:r>
      <w:r>
        <w:rPr>
          <w:rFonts w:hint="eastAsia" w:ascii="宋体" w:hAnsi="宋体" w:cs="宋体"/>
          <w:bCs/>
          <w:color w:val="auto"/>
          <w:sz w:val="21"/>
          <w:szCs w:val="21"/>
          <w:highlight w:val="none"/>
          <w:lang w:val="en-US" w:eastAsia="zh-CN"/>
        </w:rPr>
        <w:t>。</w:t>
      </w:r>
    </w:p>
    <w:p w14:paraId="78D04607">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2.2.5 </w:t>
      </w:r>
      <w:r>
        <w:rPr>
          <w:rFonts w:hint="eastAsia" w:ascii="宋体" w:hAnsi="宋体" w:eastAsia="宋体" w:cs="宋体"/>
          <w:bCs/>
          <w:color w:val="auto"/>
          <w:sz w:val="21"/>
          <w:szCs w:val="21"/>
          <w:highlight w:val="none"/>
          <w:lang w:val="en-US" w:eastAsia="zh-CN"/>
        </w:rPr>
        <w:t>6000mAh 高性能锂聚合物电池 , 可更换；PD快充</w:t>
      </w:r>
      <w:r>
        <w:rPr>
          <w:rFonts w:hint="eastAsia" w:ascii="宋体" w:hAnsi="宋体" w:cs="宋体"/>
          <w:bCs/>
          <w:color w:val="auto"/>
          <w:sz w:val="21"/>
          <w:szCs w:val="21"/>
          <w:highlight w:val="none"/>
          <w:lang w:val="en-US" w:eastAsia="zh-CN"/>
        </w:rPr>
        <w:t>。</w:t>
      </w:r>
    </w:p>
    <w:p w14:paraId="5391122F">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2.2.6 </w:t>
      </w:r>
      <w:r>
        <w:rPr>
          <w:rFonts w:hint="eastAsia" w:ascii="宋体" w:hAnsi="宋体" w:eastAsia="宋体" w:cs="宋体"/>
          <w:bCs/>
          <w:color w:val="auto"/>
          <w:sz w:val="21"/>
          <w:szCs w:val="21"/>
          <w:highlight w:val="none"/>
          <w:lang w:val="en-US" w:eastAsia="zh-CN"/>
        </w:rPr>
        <w:t>内置居民身份证阅读模块</w:t>
      </w:r>
      <w:r>
        <w:rPr>
          <w:rFonts w:hint="eastAsia" w:ascii="宋体" w:hAnsi="宋体" w:cs="宋体"/>
          <w:bCs/>
          <w:color w:val="auto"/>
          <w:sz w:val="21"/>
          <w:szCs w:val="21"/>
          <w:highlight w:val="none"/>
          <w:lang w:val="en-US" w:eastAsia="zh-CN"/>
        </w:rPr>
        <w:t>。</w:t>
      </w:r>
    </w:p>
    <w:p w14:paraId="702673CC">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内置指纹识别模块</w:t>
      </w:r>
      <w:r>
        <w:rPr>
          <w:rFonts w:hint="eastAsia" w:ascii="宋体" w:hAnsi="宋体" w:cs="宋体"/>
          <w:bCs/>
          <w:color w:val="auto"/>
          <w:sz w:val="21"/>
          <w:szCs w:val="21"/>
          <w:highlight w:val="none"/>
          <w:lang w:val="en-US" w:eastAsia="zh-CN"/>
        </w:rPr>
        <w:t>。</w:t>
      </w:r>
    </w:p>
    <w:p w14:paraId="5B9FFC2A">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2.3.1 </w:t>
      </w:r>
      <w:r>
        <w:rPr>
          <w:rFonts w:hint="eastAsia" w:ascii="宋体" w:hAnsi="宋体" w:eastAsia="宋体" w:cs="宋体"/>
          <w:bCs/>
          <w:color w:val="auto"/>
          <w:sz w:val="21"/>
          <w:szCs w:val="21"/>
          <w:highlight w:val="none"/>
          <w:lang w:val="en-US" w:eastAsia="zh-CN"/>
        </w:rPr>
        <w:t>IP67三防等级</w:t>
      </w:r>
      <w:r>
        <w:rPr>
          <w:rFonts w:hint="eastAsia" w:ascii="宋体" w:hAnsi="宋体" w:cs="宋体"/>
          <w:bCs/>
          <w:color w:val="auto"/>
          <w:sz w:val="21"/>
          <w:szCs w:val="21"/>
          <w:highlight w:val="none"/>
          <w:lang w:val="en-US" w:eastAsia="zh-CN"/>
        </w:rPr>
        <w:t>。</w:t>
      </w:r>
    </w:p>
    <w:p w14:paraId="67A5F46B">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2.3.2 </w:t>
      </w:r>
      <w:r>
        <w:rPr>
          <w:rFonts w:hint="eastAsia" w:ascii="宋体" w:hAnsi="宋体" w:eastAsia="宋体" w:cs="宋体"/>
          <w:bCs/>
          <w:color w:val="auto"/>
          <w:sz w:val="21"/>
          <w:szCs w:val="21"/>
          <w:highlight w:val="none"/>
          <w:lang w:val="en-US" w:eastAsia="zh-CN"/>
        </w:rPr>
        <w:t>6面均可承受1.5米高度跌落到水泥地面的冲击</w:t>
      </w:r>
      <w:r>
        <w:rPr>
          <w:rFonts w:hint="eastAsia" w:ascii="宋体" w:hAnsi="宋体" w:cs="宋体"/>
          <w:bCs/>
          <w:color w:val="auto"/>
          <w:sz w:val="21"/>
          <w:szCs w:val="21"/>
          <w:highlight w:val="none"/>
          <w:lang w:val="en-US" w:eastAsia="zh-CN"/>
        </w:rPr>
        <w:t>。</w:t>
      </w:r>
    </w:p>
    <w:p w14:paraId="39671D3C">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 xml:space="preserve">2.4 </w:t>
      </w:r>
      <w:r>
        <w:rPr>
          <w:rFonts w:hint="eastAsia" w:ascii="宋体" w:hAnsi="宋体" w:eastAsia="宋体" w:cs="宋体"/>
          <w:bCs/>
          <w:color w:val="auto"/>
          <w:sz w:val="21"/>
          <w:szCs w:val="21"/>
          <w:highlight w:val="none"/>
          <w:lang w:val="en-US" w:eastAsia="zh-CN"/>
        </w:rPr>
        <w:t>接口：1个Type_C（支持 OTG）；TF卡、 SIM卡 插槽</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 </w:t>
      </w:r>
    </w:p>
    <w:p w14:paraId="674578E4">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val="en-US" w:eastAsia="zh-CN"/>
        </w:rPr>
        <w:t>含嵌入式软件“人证核验软件”</w:t>
      </w:r>
      <w:r>
        <w:rPr>
          <w:rFonts w:hint="eastAsia" w:ascii="宋体" w:hAnsi="宋体" w:cs="宋体"/>
          <w:bCs/>
          <w:color w:val="auto"/>
          <w:sz w:val="21"/>
          <w:szCs w:val="21"/>
          <w:highlight w:val="none"/>
          <w:lang w:val="en-US" w:eastAsia="zh-CN"/>
        </w:rPr>
        <w:t>。</w:t>
      </w:r>
    </w:p>
    <w:p w14:paraId="773BDE18">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6</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与中山市妇幼平台匹配对接认证结果。</w:t>
      </w:r>
    </w:p>
    <w:p w14:paraId="418222A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506B8F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1B6B1AC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1.1</w:t>
      </w:r>
      <w:r>
        <w:rPr>
          <w:rFonts w:hint="eastAsia" w:ascii="宋体" w:hAnsi="宋体" w:eastAsia="宋体" w:cs="Times New Roman"/>
          <w:bCs/>
          <w:color w:val="auto"/>
          <w:szCs w:val="21"/>
          <w:highlight w:val="none"/>
          <w:lang w:val="en-US" w:eastAsia="zh-CN"/>
        </w:rPr>
        <w:t>合同签订后30天内交货，完成安装测试运行验收合格后支付合同金额的100%。</w:t>
      </w:r>
    </w:p>
    <w:p w14:paraId="3FCA662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2.验收标准和方法</w:t>
      </w:r>
    </w:p>
    <w:p w14:paraId="63DB18B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2.1设备生产日期在合同签订日期前12个月以内。</w:t>
      </w:r>
    </w:p>
    <w:p w14:paraId="30AFB47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2.2设备验收在采购人和供应商双方共同参与下按国家有关的规定、规范进行。</w:t>
      </w:r>
    </w:p>
    <w:p w14:paraId="4BFC8C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2.3验收时如发现所交付的设备有短装、次品、损坏或其它不符合本合同规定之情形者，采购人应作出详尽的现场记录，或由采购人、供应商双方签署备忘录。此现场记录或备忘录可用作补充、缺失和更换损坏部件的有效证据。因此产生的有关费用由供应商承担。</w:t>
      </w:r>
    </w:p>
    <w:p w14:paraId="3FCC984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2.4如果合同设备运输和安装过程中因事故造成货物短缺、损坏，供应商应及时安排补货、换货，以保证合同设备安装的成功完成。换货的相关费用由供应商承担。</w:t>
      </w:r>
    </w:p>
    <w:p w14:paraId="4FCEE26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2.5供应商保证合同项下提供的设备不侵犯任何第三方的专利、商标或版权。否则，供应商须承担对第三方的专利或版权的侵权责任并承担因此而发生的所有费用。</w:t>
      </w:r>
    </w:p>
    <w:p w14:paraId="0636B8D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3.质量保证期不少于</w:t>
      </w:r>
      <w:r>
        <w:rPr>
          <w:rFonts w:hint="eastAsia" w:ascii="宋体" w:hAnsi="宋体" w:cs="Times New Roman"/>
          <w:bCs/>
          <w:color w:val="auto"/>
          <w:szCs w:val="21"/>
          <w:highlight w:val="none"/>
          <w:lang w:val="en-US" w:eastAsia="zh-CN"/>
        </w:rPr>
        <w:t>1</w:t>
      </w:r>
      <w:r>
        <w:rPr>
          <w:rFonts w:hint="eastAsia" w:ascii="宋体" w:hAnsi="宋体" w:eastAsia="宋体" w:cs="Times New Roman"/>
          <w:bCs/>
          <w:color w:val="auto"/>
          <w:szCs w:val="21"/>
          <w:highlight w:val="none"/>
          <w:lang w:val="en-US" w:eastAsia="zh-CN"/>
        </w:rPr>
        <w:t>年。</w:t>
      </w:r>
    </w:p>
    <w:p w14:paraId="0DFF8AB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4.保密要求：双方合作中涉及的所有业务、技术资料，均有责任对第三方保密。如其中一方擅自将涉及另一方的商业和技术秘密的资料透漏给第三方，则另一方将保留追究对方法律责任的权利。</w:t>
      </w:r>
    </w:p>
    <w:p w14:paraId="5205C2B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5.安装调试及技术服务(含培训)要求：供应商负责设备的安装</w:t>
      </w:r>
      <w:r>
        <w:rPr>
          <w:rFonts w:hint="eastAsia" w:ascii="宋体" w:hAnsi="宋体" w:cs="Times New Roman"/>
          <w:bCs/>
          <w:color w:val="auto"/>
          <w:szCs w:val="21"/>
          <w:highlight w:val="none"/>
          <w:lang w:val="en-US" w:eastAsia="zh-CN"/>
        </w:rPr>
        <w:t>调试</w:t>
      </w:r>
      <w:r>
        <w:rPr>
          <w:rFonts w:hint="eastAsia" w:ascii="宋体" w:hAnsi="宋体" w:eastAsia="宋体" w:cs="Times New Roman"/>
          <w:bCs/>
          <w:color w:val="auto"/>
          <w:szCs w:val="21"/>
          <w:highlight w:val="none"/>
          <w:lang w:val="en-US" w:eastAsia="zh-CN"/>
        </w:rPr>
        <w:t>，供应商负责对科室技术人员、操作人员进行免费业务培训，培训内容包括设备操作、设备维护、专业知识等，培训保证技术人员、操作人员能够掌握并独立操作为止。</w:t>
      </w:r>
    </w:p>
    <w:p w14:paraId="015AFF3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6.售后服务的要求：维修保修期满,供应商终身提供维修服务，不收取上门费,只收取配件等相关成本费用。</w:t>
      </w:r>
      <w:r>
        <w:rPr>
          <w:rFonts w:hint="eastAsia" w:ascii="宋体" w:hAnsi="宋体" w:cs="Times New Roman"/>
          <w:bCs/>
          <w:color w:val="auto"/>
          <w:szCs w:val="21"/>
          <w:highlight w:val="none"/>
          <w:lang w:val="en-US" w:eastAsia="zh-CN"/>
        </w:rPr>
        <w:t>设备</w:t>
      </w:r>
      <w:r>
        <w:rPr>
          <w:rFonts w:hint="eastAsia" w:ascii="宋体" w:hAnsi="宋体" w:eastAsia="宋体" w:cs="Times New Roman"/>
          <w:bCs/>
          <w:color w:val="auto"/>
          <w:szCs w:val="21"/>
          <w:highlight w:val="none"/>
          <w:lang w:val="en-US" w:eastAsia="zh-CN"/>
        </w:rPr>
        <w:t>出现问题，供应商在接到采购人电话通知后，立即提供电话指导,如无法远程解决，供应商工程师在接到院方电话后24小时内提供解决方案,并负责设备的维修。</w:t>
      </w:r>
    </w:p>
    <w:p w14:paraId="0FE90A4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EF3A67F">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供应商应具备《中华人民共和国政府采购法》第二十二条规定的条件</w:t>
      </w:r>
      <w:r>
        <w:rPr>
          <w:rFonts w:hint="eastAsia" w:ascii="宋体" w:hAnsi="宋体" w:eastAsia="宋体" w:cs="宋体"/>
          <w:color w:val="auto"/>
          <w:sz w:val="21"/>
          <w:szCs w:val="21"/>
          <w:highlight w:val="none"/>
          <w:lang w:val="en-US" w:eastAsia="zh-CN"/>
        </w:rPr>
        <w:t>（提供资格声明函）</w:t>
      </w:r>
      <w:r>
        <w:rPr>
          <w:rFonts w:hint="eastAsia" w:ascii="宋体" w:hAnsi="宋体" w:cs="宋体"/>
          <w:color w:val="auto"/>
          <w:sz w:val="21"/>
          <w:szCs w:val="21"/>
          <w:highlight w:val="none"/>
          <w:lang w:eastAsia="zh-CN"/>
        </w:rPr>
        <w:t>。</w:t>
      </w:r>
    </w:p>
    <w:p w14:paraId="10CB3327">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供应商须具备相关经营范围</w:t>
      </w:r>
      <w:r>
        <w:rPr>
          <w:rFonts w:hint="eastAsia" w:ascii="宋体" w:hAnsi="宋体" w:cs="宋体"/>
          <w:color w:val="auto"/>
          <w:sz w:val="21"/>
          <w:szCs w:val="21"/>
          <w:highlight w:val="none"/>
          <w:lang w:val="en-US" w:eastAsia="zh-CN"/>
        </w:rPr>
        <w:t>且有效的营业执照</w:t>
      </w:r>
      <w:r>
        <w:rPr>
          <w:rFonts w:hint="eastAsia" w:ascii="宋体" w:hAnsi="宋体" w:eastAsia="宋体" w:cs="宋体"/>
          <w:color w:val="auto"/>
          <w:sz w:val="21"/>
          <w:szCs w:val="21"/>
          <w:highlight w:val="none"/>
        </w:rPr>
        <w:t>（提供证明材料复印件加盖供应商公章）。</w:t>
      </w:r>
    </w:p>
    <w:p w14:paraId="0630AF33">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D95D5CD">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本项目不接受联合体投标，且不允许转包或分包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p>
    <w:p w14:paraId="19B08C64">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0E798D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为</w:t>
      </w:r>
      <w:r>
        <w:rPr>
          <w:rFonts w:hint="eastAsia" w:ascii="宋体" w:hAnsi="宋体" w:eastAsia="宋体" w:cs="宋体"/>
          <w:color w:val="auto"/>
          <w:sz w:val="21"/>
          <w:szCs w:val="21"/>
          <w:highlight w:val="none"/>
        </w:rPr>
        <w:t>本项目提供整体设计、规范编制或者项目管理、监理、检测等服务的供应商，不得再参与本项目投标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0F4AECF">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AF6100B">
      <w:pPr>
        <w:keepNext w:val="0"/>
        <w:keepLines w:val="0"/>
        <w:pageBreakBefore w:val="0"/>
        <w:numPr>
          <w:ilvl w:val="0"/>
          <w:numId w:val="3"/>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680B17EA">
      <w:pPr>
        <w:keepNext w:val="0"/>
        <w:keepLines w:val="0"/>
        <w:pageBreakBefore w:val="0"/>
        <w:numPr>
          <w:ilvl w:val="0"/>
          <w:numId w:val="3"/>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1D9C658D">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980B5C6">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303D4C7E">
      <w:pPr>
        <w:keepNext w:val="0"/>
        <w:keepLines w:val="0"/>
        <w:pageBreakBefore w:val="0"/>
        <w:widowControl w:val="0"/>
        <w:numPr>
          <w:ilvl w:val="0"/>
          <w:numId w:val="4"/>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4B2A76FF">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282AEC19">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66B4B861">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C11E3E2">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548F6110">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5"/>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5"/>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24D6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73920675">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40355E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34</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=一般条款响应程度得分（按四舍五入保留两位）。）</w:t>
            </w:r>
          </w:p>
          <w:p w14:paraId="2ECA49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C22A0FC">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w:t>
            </w:r>
            <w:r>
              <w:rPr>
                <w:rFonts w:hint="eastAsia" w:ascii="宋体" w:hAnsi="宋体" w:cs="宋体"/>
                <w:sz w:val="21"/>
                <w:szCs w:val="21"/>
                <w:highlight w:val="none"/>
                <w:lang w:val="en-US" w:eastAsia="zh-CN"/>
              </w:rPr>
              <w:t>承诺提供的设备生产日期、</w:t>
            </w:r>
            <w:r>
              <w:rPr>
                <w:rFonts w:hint="eastAsia" w:ascii="宋体" w:hAnsi="宋体" w:eastAsia="宋体" w:cs="宋体"/>
                <w:sz w:val="21"/>
                <w:szCs w:val="21"/>
                <w:highlight w:val="none"/>
              </w:rPr>
              <w:t>维护保养、培训等内容）：</w:t>
            </w:r>
          </w:p>
          <w:p w14:paraId="092F784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质量保证期和承诺提供的设备生产日期</w:t>
            </w:r>
            <w:r>
              <w:rPr>
                <w:rFonts w:hint="eastAsia" w:ascii="宋体" w:hAnsi="宋体" w:eastAsia="宋体" w:cs="宋体"/>
                <w:sz w:val="21"/>
                <w:szCs w:val="21"/>
                <w:highlight w:val="none"/>
              </w:rPr>
              <w:t>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42FA86E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val="en-US" w:eastAsia="zh-CN"/>
              </w:rPr>
              <w:t>质量保证期和承诺提供的设备生产日期</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A06BB0F">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w:t>
            </w:r>
            <w:r>
              <w:rPr>
                <w:rFonts w:hint="eastAsia" w:ascii="宋体" w:hAnsi="宋体" w:cs="宋体"/>
                <w:sz w:val="21"/>
                <w:szCs w:val="21"/>
                <w:highlight w:val="none"/>
                <w:lang w:val="en-US" w:eastAsia="zh-CN"/>
              </w:rPr>
              <w:t>质量保证期或承诺提供的设备生产日期满足比选文件要求，</w:t>
            </w:r>
            <w:r>
              <w:rPr>
                <w:rFonts w:hint="eastAsia" w:ascii="宋体" w:hAnsi="宋体" w:eastAsia="宋体" w:cs="宋体"/>
                <w:sz w:val="21"/>
                <w:szCs w:val="21"/>
                <w:highlight w:val="none"/>
              </w:rPr>
              <w:t>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038E28E0">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w:t>
            </w:r>
            <w:r>
              <w:rPr>
                <w:rFonts w:hint="eastAsia" w:ascii="宋体" w:hAnsi="宋体" w:cs="宋体"/>
                <w:sz w:val="21"/>
                <w:szCs w:val="21"/>
                <w:highlight w:val="none"/>
                <w:lang w:val="en-US" w:eastAsia="zh-CN"/>
              </w:rPr>
              <w:t>承诺提供的设备生产日期不能满足比选文件要求，</w:t>
            </w:r>
            <w:r>
              <w:rPr>
                <w:rFonts w:hint="eastAsia" w:ascii="宋体" w:hAnsi="宋体" w:eastAsia="宋体" w:cs="宋体"/>
                <w:sz w:val="21"/>
                <w:szCs w:val="21"/>
                <w:highlight w:val="none"/>
              </w:rPr>
              <w:t>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6313B446">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45D24521">
      <w:pPr>
        <w:keepNext w:val="0"/>
        <w:keepLines w:val="0"/>
        <w:pageBreakBefore w:val="0"/>
        <w:tabs>
          <w:tab w:val="left" w:pos="567"/>
          <w:tab w:val="left" w:pos="1133"/>
        </w:tabs>
        <w:kinsoku/>
        <w:wordWrap/>
        <w:overflowPunct/>
        <w:topLinePunct w:val="0"/>
        <w:autoSpaceDE w:val="0"/>
        <w:autoSpaceDN w:val="0"/>
        <w:bidi w:val="0"/>
        <w:spacing w:line="360" w:lineRule="exact"/>
        <w:ind w:firstLine="8222" w:firstLineChars="3900"/>
        <w:jc w:val="both"/>
        <w:textAlignment w:val="bottom"/>
        <w:rPr>
          <w:rFonts w:hint="eastAsia" w:ascii="宋体" w:hAnsi="宋体" w:eastAsia="宋体" w:cs="宋体"/>
          <w:sz w:val="21"/>
          <w:szCs w:val="21"/>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CF8C8A68"/>
    <w:multiLevelType w:val="singleLevel"/>
    <w:tmpl w:val="CF8C8A68"/>
    <w:lvl w:ilvl="0" w:tentative="0">
      <w:start w:val="2"/>
      <w:numFmt w:val="decimal"/>
      <w:suff w:val="space"/>
      <w:lvlText w:val="%1."/>
      <w:lvlJc w:val="left"/>
    </w:lvl>
  </w:abstractNum>
  <w:abstractNum w:abstractNumId="3">
    <w:nsid w:val="25AC67AC"/>
    <w:multiLevelType w:val="singleLevel"/>
    <w:tmpl w:val="25AC67AC"/>
    <w:lvl w:ilvl="0" w:tentative="0">
      <w:start w:val="1"/>
      <w:numFmt w:val="chineseCounting"/>
      <w:suff w:val="nothing"/>
      <w:lvlText w:val="（%1）"/>
      <w:lvlJc w:val="left"/>
      <w:rPr>
        <w:rFonts w:hint="eastAsia"/>
      </w:rPr>
    </w:lvl>
  </w:abstractNum>
  <w:abstractNum w:abstractNumId="4">
    <w:nsid w:val="37C86125"/>
    <w:multiLevelType w:val="singleLevel"/>
    <w:tmpl w:val="37C86125"/>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6B4A17"/>
    <w:rsid w:val="020A5FE5"/>
    <w:rsid w:val="02AD51D0"/>
    <w:rsid w:val="074F28CD"/>
    <w:rsid w:val="075A0C9C"/>
    <w:rsid w:val="075D0E74"/>
    <w:rsid w:val="088C3CD7"/>
    <w:rsid w:val="08B42162"/>
    <w:rsid w:val="0A552405"/>
    <w:rsid w:val="0B105E8F"/>
    <w:rsid w:val="0B5A71A0"/>
    <w:rsid w:val="0B816D4C"/>
    <w:rsid w:val="0D303E96"/>
    <w:rsid w:val="0D5356A5"/>
    <w:rsid w:val="0F411E6B"/>
    <w:rsid w:val="10FD2C30"/>
    <w:rsid w:val="11F2677F"/>
    <w:rsid w:val="11FD4E35"/>
    <w:rsid w:val="120A5047"/>
    <w:rsid w:val="124828D8"/>
    <w:rsid w:val="16AF68E3"/>
    <w:rsid w:val="17AD667F"/>
    <w:rsid w:val="19C23FFF"/>
    <w:rsid w:val="1B902BD0"/>
    <w:rsid w:val="1D1A254A"/>
    <w:rsid w:val="1DAB3FD6"/>
    <w:rsid w:val="1F3E3A6E"/>
    <w:rsid w:val="212E1977"/>
    <w:rsid w:val="21316930"/>
    <w:rsid w:val="219C3D3D"/>
    <w:rsid w:val="21E441D2"/>
    <w:rsid w:val="241A2687"/>
    <w:rsid w:val="253202CD"/>
    <w:rsid w:val="27F448D3"/>
    <w:rsid w:val="29B10698"/>
    <w:rsid w:val="2CB27DEF"/>
    <w:rsid w:val="2F4F416E"/>
    <w:rsid w:val="2F942FD1"/>
    <w:rsid w:val="32301FF4"/>
    <w:rsid w:val="32862630"/>
    <w:rsid w:val="33AD6EE0"/>
    <w:rsid w:val="34D81478"/>
    <w:rsid w:val="36B1728E"/>
    <w:rsid w:val="36C83C10"/>
    <w:rsid w:val="3A822C5D"/>
    <w:rsid w:val="3AEB754D"/>
    <w:rsid w:val="3C11515E"/>
    <w:rsid w:val="3C470BB3"/>
    <w:rsid w:val="3D064E51"/>
    <w:rsid w:val="3DD2254E"/>
    <w:rsid w:val="410F24F8"/>
    <w:rsid w:val="41B868E9"/>
    <w:rsid w:val="43E213BD"/>
    <w:rsid w:val="462F59B2"/>
    <w:rsid w:val="47977F8E"/>
    <w:rsid w:val="488A14A0"/>
    <w:rsid w:val="49FB0CA3"/>
    <w:rsid w:val="4AE91161"/>
    <w:rsid w:val="4AEE6476"/>
    <w:rsid w:val="4DD162BD"/>
    <w:rsid w:val="4F183C27"/>
    <w:rsid w:val="4FA2515B"/>
    <w:rsid w:val="52D05187"/>
    <w:rsid w:val="53BE1870"/>
    <w:rsid w:val="557E41CD"/>
    <w:rsid w:val="57A26C6F"/>
    <w:rsid w:val="57A47613"/>
    <w:rsid w:val="5966506E"/>
    <w:rsid w:val="59761BA9"/>
    <w:rsid w:val="5B8247AD"/>
    <w:rsid w:val="5DDA7107"/>
    <w:rsid w:val="5E4647B1"/>
    <w:rsid w:val="5FA04E1F"/>
    <w:rsid w:val="5FC6594D"/>
    <w:rsid w:val="61C2112E"/>
    <w:rsid w:val="62503D99"/>
    <w:rsid w:val="631B1778"/>
    <w:rsid w:val="642705C1"/>
    <w:rsid w:val="657038D9"/>
    <w:rsid w:val="66895538"/>
    <w:rsid w:val="676D3727"/>
    <w:rsid w:val="69D1193E"/>
    <w:rsid w:val="6AD80A32"/>
    <w:rsid w:val="6F330BB1"/>
    <w:rsid w:val="70C54A6B"/>
    <w:rsid w:val="71B92164"/>
    <w:rsid w:val="721D6DAF"/>
    <w:rsid w:val="728C5C5D"/>
    <w:rsid w:val="729B2CA6"/>
    <w:rsid w:val="73314E5B"/>
    <w:rsid w:val="743D707D"/>
    <w:rsid w:val="74936463"/>
    <w:rsid w:val="74C9421C"/>
    <w:rsid w:val="78C30A2E"/>
    <w:rsid w:val="795559D4"/>
    <w:rsid w:val="7C69286B"/>
    <w:rsid w:val="7C6F3120"/>
    <w:rsid w:val="7E2D63B4"/>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2"/>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4089</Words>
  <Characters>4317</Characters>
  <Lines>0</Lines>
  <Paragraphs>0</Paragraphs>
  <TotalTime>2</TotalTime>
  <ScaleCrop>false</ScaleCrop>
  <LinksUpToDate>false</LinksUpToDate>
  <CharactersWithSpaces>4346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郑伟权</cp:lastModifiedBy>
  <cp:lastPrinted>2024-12-27T08:30:00Z</cp:lastPrinted>
  <dcterms:modified xsi:type="dcterms:W3CDTF">2025-09-03T06:51:36Z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09ECCB05D3B74FB9857E198F7286EE9B_13</vt:lpwstr>
  </property>
  <property fmtid="{D5CDD505-2E9C-101B-9397-08002B2CF9AE}" pid="4" name="KSOTemplateDocerSaveRecord">
    <vt:lpwstr>eyJoZGlkIjoiZjFmZWIzNDg2MmIzZjExOTIzMmViNTBmYTMwYTk0ZWYiLCJ1c2VySWQiOiIzMzc0NDkxODMifQ==</vt:lpwstr>
  </property>
</Properties>
</file>