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0312512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0400" cy="2409825"/>
            <wp:effectExtent l="0" t="0" r="0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黄少玲用地图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镇白企村贝里灯笼坑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0312512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120.00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黄少玲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-15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中山市南朗镇白企村片区(白企村、南朗村、泮沙村)村庄规划(2017)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311C1421"/>
    <w:rsid w:val="4FEF1C6D"/>
    <w:rsid w:val="53C600F3"/>
    <w:rsid w:val="5E492473"/>
    <w:rsid w:val="5ED02F09"/>
    <w:rsid w:val="62883C18"/>
    <w:rsid w:val="6A02619E"/>
    <w:rsid w:val="70C24F65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2025-08-26T01:52:08Z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FD6835EC3BC34982B9D98E7CF1E27D30_13</vt:lpwstr>
  </property>
</Properties>
</file>