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电子胃肠镜系统维修保养服务</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电子胃肠镜系统维修保养服务</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电子胃肠镜系统维修保养服务</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473"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208"/>
        <w:gridCol w:w="1204"/>
        <w:gridCol w:w="125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24"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80"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77"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17"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24"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电子胃肠镜系统维修保养服务</w:t>
            </w:r>
          </w:p>
        </w:tc>
        <w:tc>
          <w:tcPr>
            <w:tcW w:w="880"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77"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17"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3A5FC4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36C6A55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OLYMPUS CV170电子胃肠镜系统1套（含主机1台、显示器1台、电子胃镜1条、电子肠镜1条）的故障维修、预防性保养及设备使用技术支持。</w:t>
      </w:r>
    </w:p>
    <w:p w14:paraId="6947A7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72620DD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eastAsia="宋体" w:cs="宋体"/>
          <w:color w:val="auto"/>
          <w:sz w:val="21"/>
          <w:szCs w:val="21"/>
          <w:highlight w:val="none"/>
          <w:lang w:val="en-US" w:eastAsia="zh-CN"/>
        </w:rPr>
        <w:t>自合同签订之日起1年。</w:t>
      </w:r>
    </w:p>
    <w:p w14:paraId="10015DD7">
      <w:pPr>
        <w:keepNext w:val="0"/>
        <w:keepLines w:val="0"/>
        <w:pageBreakBefore w:val="0"/>
        <w:numPr>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72763829">
      <w:pPr>
        <w:pStyle w:val="2"/>
        <w:rPr>
          <w:rFonts w:hint="default"/>
          <w:lang w:val="en-US" w:eastAsia="zh-CN"/>
        </w:rPr>
      </w:pPr>
      <w:r>
        <w:rPr>
          <w:rFonts w:hint="eastAsia" w:ascii="宋体" w:hAnsi="宋体" w:cs="宋体"/>
          <w:color w:val="auto"/>
          <w:sz w:val="21"/>
          <w:szCs w:val="21"/>
          <w:highlight w:val="none"/>
          <w:lang w:val="en-US" w:eastAsia="zh-CN"/>
        </w:rPr>
        <w:t xml:space="preserve">    1.服务要求</w:t>
      </w:r>
    </w:p>
    <w:p w14:paraId="638FA8C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每季度提供一次全面的预防性保养服务。</w:t>
      </w:r>
    </w:p>
    <w:p w14:paraId="1541E594">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合同期内，不限次数维修、更</w:t>
      </w:r>
      <w:r>
        <w:rPr>
          <w:rFonts w:hint="eastAsia" w:ascii="宋体" w:hAnsi="宋体" w:cs="宋体"/>
          <w:color w:val="auto"/>
          <w:sz w:val="21"/>
          <w:szCs w:val="21"/>
          <w:highlight w:val="none"/>
          <w:lang w:val="en-US" w:eastAsia="zh-CN"/>
        </w:rPr>
        <w:t>换</w:t>
      </w:r>
      <w:r>
        <w:rPr>
          <w:rFonts w:hint="eastAsia" w:ascii="宋体" w:hAnsi="宋体" w:eastAsia="宋体" w:cs="宋体"/>
          <w:color w:val="auto"/>
          <w:sz w:val="21"/>
          <w:szCs w:val="21"/>
          <w:highlight w:val="none"/>
          <w:lang w:val="en-US" w:eastAsia="zh-CN"/>
        </w:rPr>
        <w:t>设备中损坏及不稳定的零备件，费用包含在报价中。</w:t>
      </w:r>
    </w:p>
    <w:p w14:paraId="3F27CC4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紧急维修30分钟内响应，一般维修24小时</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完成，特殊维修10日内完成。</w:t>
      </w:r>
    </w:p>
    <w:p w14:paraId="456B8B6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人员配置要求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需有相关技术培训合格证书的专业工程师负责项目实施。</w:t>
      </w:r>
    </w:p>
    <w:p w14:paraId="7DDBAFAC">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设施设备配置要求：故障维修期间，</w:t>
      </w:r>
      <w:r>
        <w:rPr>
          <w:rFonts w:hint="eastAsia" w:ascii="宋体" w:hAnsi="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提供与OLYMPUS CV170电子胃肠镜系统相匹配的备用镜给采购人使用。</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7BF4784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1.付款方式：2025年12月31日前支付至合同金额的100%。</w:t>
      </w:r>
    </w:p>
    <w:p w14:paraId="7974328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2.验收标准和方法</w:t>
      </w:r>
    </w:p>
    <w:p w14:paraId="5DE9E743">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验收标准：《</w:t>
      </w:r>
      <w:r>
        <w:rPr>
          <w:rFonts w:hint="eastAsia" w:ascii="宋体" w:hAnsi="宋体" w:eastAsia="宋体" w:cs="宋体"/>
          <w:color w:val="auto"/>
          <w:sz w:val="21"/>
          <w:szCs w:val="21"/>
          <w:highlight w:val="none"/>
          <w:lang w:val="en-US" w:eastAsia="zh-CN"/>
        </w:rPr>
        <w:t>设备维修保养服务满意度评价</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lang w:val="en-US" w:eastAsia="zh-CN"/>
        </w:rPr>
        <w:t>得分≥90分</w:t>
      </w:r>
      <w:r>
        <w:rPr>
          <w:rFonts w:hint="eastAsia" w:ascii="宋体" w:hAnsi="宋体" w:cs="宋体"/>
          <w:color w:val="auto"/>
          <w:sz w:val="21"/>
          <w:szCs w:val="21"/>
          <w:highlight w:val="none"/>
          <w:lang w:val="en-US" w:eastAsia="zh-CN"/>
        </w:rPr>
        <w:t>。</w:t>
      </w:r>
    </w:p>
    <w:p w14:paraId="1A2553A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2.2若采购人使用科室核心小组有2/3或以上人数对中选供应商的服务质量不满意的，且使用科室核心小组已对其发出书面通报两次或以上的，经院方领导同意，采购人有权终止合同。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10F75929">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在验收中发现服务达不到验收标准或合同及合同相关技术文件规定，供应商应及时安排更换为有相关技术培训合格证书的专业工程师继续服务，以保证服务最终达到合同或合同相关技术文件中规定的要求。更换人员的相关费用全部由供应商承担并承担由此造成的一切损失。如更换后的服务人员仍达不到验收标准或合同及合同相关技术文件规定的，采购人可终止全部或部分合同，采购人可以依其认为适当的条件和方法购买</w:t>
      </w:r>
      <w:r>
        <w:rPr>
          <w:rFonts w:hint="eastAsia" w:ascii="宋体" w:hAnsi="宋体" w:cs="宋体"/>
          <w:color w:val="auto"/>
          <w:sz w:val="21"/>
          <w:szCs w:val="21"/>
          <w:highlight w:val="none"/>
          <w:lang w:val="en-US" w:eastAsia="zh-CN"/>
        </w:rPr>
        <w:t>类似服务与</w:t>
      </w:r>
      <w:r>
        <w:rPr>
          <w:rFonts w:hint="eastAsia" w:ascii="宋体" w:hAnsi="宋体" w:eastAsia="宋体" w:cs="宋体"/>
          <w:color w:val="auto"/>
          <w:sz w:val="21"/>
          <w:szCs w:val="21"/>
          <w:highlight w:val="none"/>
          <w:lang w:val="en-US" w:eastAsia="zh-CN"/>
        </w:rPr>
        <w:t>未完成的服务，供应商应承担采购人因购买类似服务而产生的额外支出。但是，供应商应继续执行合同中未终止的部分。采购人保留法律追究的权利。</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4"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3"/>
        <w:gridCol w:w="7072"/>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(40分)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FCBAEE">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=一般条款响应程度得分（按四舍五入保留两位）。）</w:t>
            </w:r>
          </w:p>
          <w:p w14:paraId="6E30E699">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bookmarkStart w:id="1" w:name="_GoBack"/>
            <w:bookmarkEnd w:id="1"/>
            <w:r>
              <w:rPr>
                <w:rFonts w:hint="eastAsia" w:ascii="宋体" w:hAnsi="宋体" w:cs="宋体"/>
                <w:color w:val="auto"/>
                <w:szCs w:val="21"/>
                <w:highlight w:val="none"/>
                <w:lang w:val="en-US" w:eastAsia="zh-CN"/>
              </w:rPr>
              <w:t>）</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=一般条款响应程度得分（按四舍五入保留两位）。）</w:t>
            </w:r>
          </w:p>
          <w:p w14:paraId="2474C9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注：本项满分为40分，以采购需求书中要求提供（如有）的证明材料作为评审依据，未按要求提供不得分。</w:t>
            </w:r>
          </w:p>
        </w:tc>
      </w:tr>
      <w:tr w14:paraId="46C0208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7F1E8B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0311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BBCEF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12EA64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yellow"/>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r>
              <w:rPr>
                <w:rFonts w:hint="eastAsia" w:ascii="宋体" w:hAnsi="宋体" w:eastAsia="宋体" w:cs="宋体"/>
                <w:sz w:val="21"/>
                <w:szCs w:val="21"/>
                <w:highlight w:val="none"/>
              </w:rPr>
              <w:t xml:space="preserve"> </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设备维修保养服务满意度</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Cs w:val="21"/>
                <w:highlight w:val="none"/>
                <w:lang w:val="en-US" w:eastAsia="zh-CN"/>
              </w:rPr>
              <w:t>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0BC4169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p w14:paraId="62846504">
            <w:pPr>
              <w:rPr>
                <w:rFonts w:hint="default"/>
                <w:lang w:val="en-US" w:eastAsia="zh-CN"/>
              </w:rPr>
            </w:pPr>
            <w:r>
              <w:rPr>
                <w:rFonts w:hint="eastAsia" w:ascii="宋体" w:hAnsi="宋体" w:cs="宋体"/>
                <w:b/>
                <w:bCs/>
                <w:color w:val="auto"/>
                <w:szCs w:val="21"/>
                <w:highlight w:val="none"/>
                <w:lang w:val="en-US" w:eastAsia="zh-CN"/>
              </w:rPr>
              <w:t>注：须提供《</w:t>
            </w:r>
            <w:r>
              <w:rPr>
                <w:rFonts w:hint="eastAsia" w:ascii="宋体" w:hAnsi="宋体" w:eastAsia="宋体" w:cs="宋体"/>
                <w:b/>
                <w:bCs/>
                <w:color w:val="auto"/>
                <w:sz w:val="21"/>
                <w:szCs w:val="21"/>
                <w:highlight w:val="none"/>
                <w:lang w:val="en-US" w:eastAsia="zh-CN"/>
              </w:rPr>
              <w:t>设备维修保养服务满意度评价</w:t>
            </w:r>
            <w:r>
              <w:rPr>
                <w:rFonts w:hint="eastAsia" w:ascii="宋体" w:hAnsi="宋体" w:cs="宋体"/>
                <w:b/>
                <w:bCs/>
                <w:color w:val="auto"/>
                <w:sz w:val="21"/>
                <w:szCs w:val="21"/>
                <w:highlight w:val="none"/>
                <w:lang w:val="en-US" w:eastAsia="zh-CN"/>
              </w:rPr>
              <w:t>表</w:t>
            </w:r>
            <w:r>
              <w:rPr>
                <w:rFonts w:hint="eastAsia" w:ascii="宋体" w:hAnsi="宋体" w:cs="宋体"/>
                <w:b/>
                <w:bCs/>
                <w:color w:val="auto"/>
                <w:szCs w:val="21"/>
                <w:highlight w:val="none"/>
                <w:lang w:val="en-US" w:eastAsia="zh-CN"/>
              </w:rPr>
              <w:t>》，满分为100分；且评价表应至少包含服务响应时间、服务质量、服务态度等内容才能得分。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B93CB3"/>
    <w:rsid w:val="020A5FE5"/>
    <w:rsid w:val="02AD51D0"/>
    <w:rsid w:val="074F28CD"/>
    <w:rsid w:val="075A0C9C"/>
    <w:rsid w:val="075D0E74"/>
    <w:rsid w:val="07742E26"/>
    <w:rsid w:val="088C3CD7"/>
    <w:rsid w:val="08B42162"/>
    <w:rsid w:val="0A552405"/>
    <w:rsid w:val="0B105E8F"/>
    <w:rsid w:val="0B425501"/>
    <w:rsid w:val="0B5A71A0"/>
    <w:rsid w:val="0DCC347C"/>
    <w:rsid w:val="0F411E6B"/>
    <w:rsid w:val="0F843B2A"/>
    <w:rsid w:val="10FD2C30"/>
    <w:rsid w:val="11F2677F"/>
    <w:rsid w:val="120A5047"/>
    <w:rsid w:val="15A47E31"/>
    <w:rsid w:val="16AF68E3"/>
    <w:rsid w:val="17AD667F"/>
    <w:rsid w:val="18F37183"/>
    <w:rsid w:val="19C23FFF"/>
    <w:rsid w:val="1B52693D"/>
    <w:rsid w:val="1C1F77F3"/>
    <w:rsid w:val="1CA3450A"/>
    <w:rsid w:val="1D1A254A"/>
    <w:rsid w:val="1DAB3FD6"/>
    <w:rsid w:val="20FF1B2F"/>
    <w:rsid w:val="21316930"/>
    <w:rsid w:val="219C3D3D"/>
    <w:rsid w:val="21E441D2"/>
    <w:rsid w:val="241A2687"/>
    <w:rsid w:val="243F400F"/>
    <w:rsid w:val="253202CD"/>
    <w:rsid w:val="26FF2618"/>
    <w:rsid w:val="2A524C38"/>
    <w:rsid w:val="2E6A0991"/>
    <w:rsid w:val="318A2084"/>
    <w:rsid w:val="32301FF4"/>
    <w:rsid w:val="32862630"/>
    <w:rsid w:val="33AD6EE0"/>
    <w:rsid w:val="34D81478"/>
    <w:rsid w:val="3A822C5D"/>
    <w:rsid w:val="3AEB754D"/>
    <w:rsid w:val="3DD70A23"/>
    <w:rsid w:val="410F24F8"/>
    <w:rsid w:val="41B868E9"/>
    <w:rsid w:val="4667066F"/>
    <w:rsid w:val="488A14A0"/>
    <w:rsid w:val="48B14A50"/>
    <w:rsid w:val="49326564"/>
    <w:rsid w:val="4ACD0CF8"/>
    <w:rsid w:val="4AE91161"/>
    <w:rsid w:val="4F183C27"/>
    <w:rsid w:val="4FA2515B"/>
    <w:rsid w:val="51DA0BDC"/>
    <w:rsid w:val="51DE39B0"/>
    <w:rsid w:val="522F7C05"/>
    <w:rsid w:val="52D05187"/>
    <w:rsid w:val="53BE1870"/>
    <w:rsid w:val="540C3F99"/>
    <w:rsid w:val="557E41CD"/>
    <w:rsid w:val="560857B6"/>
    <w:rsid w:val="570F19E0"/>
    <w:rsid w:val="57A26C6F"/>
    <w:rsid w:val="57A47613"/>
    <w:rsid w:val="5966506E"/>
    <w:rsid w:val="59761BA9"/>
    <w:rsid w:val="5B8247AD"/>
    <w:rsid w:val="5DDA7107"/>
    <w:rsid w:val="5E3A6528"/>
    <w:rsid w:val="5E4647B1"/>
    <w:rsid w:val="5FA04E1F"/>
    <w:rsid w:val="5FC6594D"/>
    <w:rsid w:val="62503D99"/>
    <w:rsid w:val="631B1778"/>
    <w:rsid w:val="642705C1"/>
    <w:rsid w:val="64313601"/>
    <w:rsid w:val="65933B9B"/>
    <w:rsid w:val="674D5AB6"/>
    <w:rsid w:val="676D3727"/>
    <w:rsid w:val="67CF408D"/>
    <w:rsid w:val="69D1193E"/>
    <w:rsid w:val="6AD80A32"/>
    <w:rsid w:val="6B8E7F8D"/>
    <w:rsid w:val="70C54A6B"/>
    <w:rsid w:val="71465789"/>
    <w:rsid w:val="71B92164"/>
    <w:rsid w:val="721D6DAF"/>
    <w:rsid w:val="728C5C5D"/>
    <w:rsid w:val="73314E5B"/>
    <w:rsid w:val="74C9421C"/>
    <w:rsid w:val="760A3CB4"/>
    <w:rsid w:val="795559D4"/>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both"/>
    </w:pPr>
    <w:rPr>
      <w:kern w:val="2"/>
      <w:sz w:val="28"/>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qFormat/>
    <w:uiPriority w:val="0"/>
    <w:pPr>
      <w:jc w:val="left"/>
    </w:p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2"/>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2624</Words>
  <Characters>2778</Characters>
  <Lines>0</Lines>
  <Paragraphs>0</Paragraphs>
  <TotalTime>41</TotalTime>
  <ScaleCrop>false</ScaleCrop>
  <LinksUpToDate>false</LinksUpToDate>
  <CharactersWithSpaces>2798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2025-08-26T01:29:24Z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