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C4972">
      <w:pPr>
        <w:spacing w:before="159" w:beforeLines="50" w:after="159" w:afterLines="50" w:line="36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西区街道隆平智造升级区</w:t>
      </w:r>
      <w:r>
        <w:rPr>
          <w:rFonts w:hint="eastAsia" w:ascii="方正小标宋简体" w:hAnsi="方正小标宋简体" w:eastAsia="方正小标宋简体" w:cs="方正小标宋简体"/>
          <w:sz w:val="44"/>
          <w:szCs w:val="44"/>
          <w:lang w:eastAsia="zh-CN"/>
        </w:rPr>
        <w:t>一</w:t>
      </w:r>
      <w:r>
        <w:rPr>
          <w:rFonts w:hint="eastAsia" w:ascii="方正小标宋简体" w:hAnsi="方正小标宋简体" w:eastAsia="方正小标宋简体" w:cs="方正小标宋简体"/>
          <w:sz w:val="44"/>
          <w:szCs w:val="44"/>
        </w:rPr>
        <w:t>期“工改工”</w:t>
      </w:r>
    </w:p>
    <w:p w14:paraId="6D9300EC">
      <w:pPr>
        <w:adjustRightInd/>
        <w:snapToGrid/>
        <w:spacing w:before="159" w:beforeLines="50" w:after="159" w:afterLines="50" w:line="360" w:lineRule="auto"/>
        <w:jc w:val="center"/>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pacing w:val="0"/>
          <w:sz w:val="44"/>
          <w:szCs w:val="44"/>
        </w:rPr>
        <w:t>低效工业用地改造方案</w:t>
      </w:r>
    </w:p>
    <w:p w14:paraId="28ED6B53">
      <w:pPr>
        <w:spacing w:line="574" w:lineRule="exact"/>
        <w:ind w:firstLine="924" w:firstLineChars="300"/>
        <w:rPr>
          <w:rFonts w:hint="eastAsia" w:ascii="华文细黑" w:hAnsi="华文细黑" w:eastAsia="华文细黑" w:cs="华文细黑"/>
          <w:spacing w:val="-6"/>
          <w:kern w:val="0"/>
          <w:sz w:val="32"/>
          <w:szCs w:val="32"/>
        </w:rPr>
      </w:pPr>
    </w:p>
    <w:p w14:paraId="373B07B9">
      <w:pPr>
        <w:spacing w:line="574" w:lineRule="exact"/>
        <w:ind w:firstLine="640" w:firstLineChars="200"/>
        <w:rPr>
          <w:rFonts w:hint="default" w:ascii="Times New Roman" w:hAnsi="Times New Roman" w:eastAsia="华文细黑" w:cs="Times New Roman"/>
          <w:spacing w:val="-6"/>
          <w:kern w:val="0"/>
          <w:sz w:val="32"/>
          <w:szCs w:val="32"/>
        </w:rPr>
      </w:pPr>
      <w:r>
        <w:rPr>
          <w:rFonts w:hint="default" w:ascii="Times New Roman" w:hAnsi="Times New Roman" w:eastAsia="仿宋_GB2312" w:cs="Times New Roman"/>
          <w:kern w:val="0"/>
          <w:sz w:val="32"/>
          <w:szCs w:val="32"/>
          <w:lang w:bidi="ar"/>
        </w:rPr>
        <w:t>根据现行控制性详细规划，</w:t>
      </w:r>
      <w:r>
        <w:rPr>
          <w:rFonts w:hint="default" w:ascii="Times New Roman" w:hAnsi="Times New Roman" w:eastAsia="仿宋_GB2312" w:cs="Times New Roman"/>
          <w:spacing w:val="-6"/>
          <w:kern w:val="0"/>
          <w:sz w:val="32"/>
          <w:szCs w:val="32"/>
        </w:rPr>
        <w:t>中山市西区街道办事处拟对位于中山市西区街道隆平路11号的梁金泰1宗旧厂房用地进行改造</w:t>
      </w:r>
      <w:r>
        <w:rPr>
          <w:rFonts w:hint="default" w:ascii="Times New Roman" w:hAnsi="Times New Roman" w:eastAsia="仿宋_GB2312" w:cs="Times New Roman"/>
          <w:kern w:val="0"/>
          <w:sz w:val="32"/>
          <w:szCs w:val="32"/>
          <w:lang w:bidi="ar"/>
        </w:rPr>
        <w:t>，</w:t>
      </w:r>
      <w:r>
        <w:rPr>
          <w:rFonts w:hint="default" w:ascii="Times New Roman" w:hAnsi="Times New Roman" w:eastAsia="仿宋_GB2312" w:cs="Times New Roman"/>
          <w:spacing w:val="-6"/>
          <w:kern w:val="0"/>
          <w:sz w:val="32"/>
          <w:szCs w:val="32"/>
        </w:rPr>
        <w:t>由政府整备改造，采取全面改造的改造方式。</w:t>
      </w:r>
      <w:r>
        <w:rPr>
          <w:rFonts w:hint="default" w:ascii="Times New Roman" w:hAnsi="Times New Roman" w:eastAsia="仿宋_GB2312" w:cs="Times New Roman"/>
          <w:kern w:val="0"/>
          <w:sz w:val="32"/>
          <w:szCs w:val="32"/>
          <w:lang w:bidi="ar"/>
        </w:rPr>
        <w:t>改造方案如下：</w:t>
      </w:r>
    </w:p>
    <w:p w14:paraId="6EA4235D">
      <w:pPr>
        <w:adjustRightInd w:val="0"/>
        <w:snapToGrid w:val="0"/>
        <w:spacing w:line="574"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一、改造地块基本情况</w:t>
      </w:r>
    </w:p>
    <w:p w14:paraId="29ED9ADA">
      <w:pPr>
        <w:adjustRightInd w:val="0"/>
        <w:snapToGrid w:val="0"/>
        <w:spacing w:line="574" w:lineRule="exact"/>
        <w:ind w:firstLine="616" w:firstLineChars="200"/>
        <w:rPr>
          <w:rFonts w:hint="default" w:ascii="Times New Roman" w:hAnsi="Times New Roman" w:eastAsia="楷体" w:cs="Times New Roman"/>
          <w:spacing w:val="-6"/>
          <w:sz w:val="32"/>
          <w:szCs w:val="32"/>
          <w:lang w:eastAsia="zh-CN"/>
        </w:rPr>
      </w:pPr>
      <w:r>
        <w:rPr>
          <w:rFonts w:hint="default" w:ascii="Times New Roman" w:hAnsi="Times New Roman" w:eastAsia="楷体" w:cs="Times New Roman"/>
          <w:spacing w:val="-6"/>
          <w:sz w:val="32"/>
          <w:szCs w:val="32"/>
        </w:rPr>
        <w:t>（一）总体情况</w:t>
      </w:r>
      <w:r>
        <w:rPr>
          <w:rFonts w:hint="default" w:ascii="Times New Roman" w:hAnsi="Times New Roman" w:eastAsia="楷体" w:cs="Times New Roman"/>
          <w:spacing w:val="-6"/>
          <w:sz w:val="32"/>
          <w:szCs w:val="32"/>
          <w:lang w:eastAsia="zh-CN"/>
        </w:rPr>
        <w:t>。</w:t>
      </w:r>
    </w:p>
    <w:p w14:paraId="1B5A5E9C">
      <w:pPr>
        <w:spacing w:line="574" w:lineRule="exact"/>
        <w:ind w:firstLine="616" w:firstLineChars="200"/>
        <w:rPr>
          <w:rFonts w:hint="default" w:ascii="Times New Roman" w:hAnsi="Times New Roman" w:eastAsia="仿宋_GB2312" w:cs="Times New Roman"/>
          <w:spacing w:val="-6"/>
          <w:kern w:val="0"/>
          <w:sz w:val="32"/>
          <w:szCs w:val="32"/>
        </w:rPr>
      </w:pPr>
      <w:r>
        <w:rPr>
          <w:rFonts w:hint="eastAsia" w:ascii="Times New Roman" w:hAnsi="Times New Roman" w:eastAsia="仿宋_GB2312"/>
          <w:spacing w:val="-6"/>
          <w:sz w:val="32"/>
          <w:szCs w:val="32"/>
        </w:rPr>
        <w:t>改造项目地块位于</w:t>
      </w:r>
      <w:r>
        <w:rPr>
          <w:rFonts w:hint="default" w:ascii="Times New Roman" w:hAnsi="Times New Roman" w:eastAsia="仿宋_GB2312" w:cs="Times New Roman"/>
          <w:spacing w:val="-6"/>
          <w:kern w:val="0"/>
          <w:sz w:val="32"/>
          <w:szCs w:val="32"/>
        </w:rPr>
        <w:t>中山市西区街道隆平路11号，北至中山市宏泰锁业有限公司，东至中山市澳多电子科技有限公司，南至隆平路，西至中山市华顺电器有限公司，用地面积1.3290 公顷（13289.9平方米，折合约19.93亩）。</w:t>
      </w:r>
    </w:p>
    <w:p w14:paraId="28C9CF96">
      <w:pPr>
        <w:numPr>
          <w:ilvl w:val="255"/>
          <w:numId w:val="0"/>
        </w:numPr>
        <w:adjustRightInd w:val="0"/>
        <w:snapToGrid w:val="0"/>
        <w:spacing w:line="574" w:lineRule="exact"/>
        <w:ind w:firstLine="616" w:firstLineChars="200"/>
        <w:rPr>
          <w:rFonts w:hint="default" w:ascii="Times New Roman" w:hAnsi="Times New Roman" w:eastAsia="楷体" w:cs="Times New Roman"/>
          <w:kern w:val="0"/>
          <w:sz w:val="32"/>
          <w:szCs w:val="32"/>
          <w:lang w:eastAsia="zh-CN" w:bidi="ar"/>
        </w:rPr>
      </w:pPr>
      <w:r>
        <w:rPr>
          <w:rFonts w:hint="default" w:ascii="Times New Roman" w:hAnsi="Times New Roman" w:eastAsia="楷体" w:cs="Times New Roman"/>
          <w:spacing w:val="-6"/>
          <w:sz w:val="32"/>
          <w:szCs w:val="32"/>
        </w:rPr>
        <w:t>（二）标图入库情况</w:t>
      </w:r>
      <w:r>
        <w:rPr>
          <w:rFonts w:hint="default" w:ascii="Times New Roman" w:hAnsi="Times New Roman" w:eastAsia="楷体" w:cs="Times New Roman"/>
          <w:spacing w:val="-6"/>
          <w:sz w:val="32"/>
          <w:szCs w:val="32"/>
          <w:lang w:eastAsia="zh-CN"/>
        </w:rPr>
        <w:t>。</w:t>
      </w:r>
    </w:p>
    <w:p w14:paraId="612D74BF">
      <w:pPr>
        <w:adjustRightInd w:val="0"/>
        <w:snapToGrid w:val="0"/>
        <w:spacing w:line="574" w:lineRule="exact"/>
        <w:ind w:firstLine="616"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改造地块因现状地类部分为非建设用地且2009年上盖建筑物基底面积占比不足30%，不符合省标图入库要求，不能纳入省标图入库范围。</w:t>
      </w:r>
    </w:p>
    <w:p w14:paraId="27E4B9A0">
      <w:pPr>
        <w:numPr>
          <w:ilvl w:val="255"/>
          <w:numId w:val="0"/>
        </w:numPr>
        <w:adjustRightInd w:val="0"/>
        <w:snapToGrid w:val="0"/>
        <w:spacing w:line="574" w:lineRule="exact"/>
        <w:ind w:firstLine="616" w:firstLineChars="200"/>
        <w:rPr>
          <w:rFonts w:hint="default" w:ascii="Times New Roman" w:hAnsi="Times New Roman" w:eastAsia="楷体" w:cs="Times New Roman"/>
          <w:spacing w:val="-6"/>
          <w:sz w:val="32"/>
          <w:szCs w:val="32"/>
          <w:lang w:eastAsia="zh-CN"/>
        </w:rPr>
      </w:pPr>
      <w:r>
        <w:rPr>
          <w:rFonts w:hint="default" w:ascii="Times New Roman" w:hAnsi="Times New Roman" w:eastAsia="楷体" w:cs="Times New Roman"/>
          <w:spacing w:val="-6"/>
          <w:sz w:val="32"/>
          <w:szCs w:val="32"/>
        </w:rPr>
        <w:t>（三）权属情况</w:t>
      </w:r>
      <w:r>
        <w:rPr>
          <w:rFonts w:hint="default" w:ascii="Times New Roman" w:hAnsi="Times New Roman" w:eastAsia="楷体" w:cs="Times New Roman"/>
          <w:spacing w:val="-6"/>
          <w:sz w:val="32"/>
          <w:szCs w:val="32"/>
          <w:lang w:eastAsia="zh-CN"/>
        </w:rPr>
        <w:t>。</w:t>
      </w:r>
    </w:p>
    <w:p w14:paraId="0CB1FABB">
      <w:pPr>
        <w:adjustRightInd w:val="0"/>
        <w:snapToGrid w:val="0"/>
        <w:spacing w:line="574" w:lineRule="exact"/>
        <w:ind w:firstLine="616"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改造项目属国有建设用地，土地用途为</w:t>
      </w:r>
      <w:r>
        <w:rPr>
          <w:rFonts w:hint="eastAsia" w:ascii="Times New Roman" w:hAnsi="Times New Roman" w:eastAsia="仿宋_GB2312"/>
          <w:spacing w:val="-6"/>
          <w:sz w:val="32"/>
          <w:szCs w:val="32"/>
          <w:highlight w:val="none"/>
        </w:rPr>
        <w:t>工业</w:t>
      </w:r>
      <w:r>
        <w:rPr>
          <w:rFonts w:hint="eastAsia" w:ascii="Times New Roman" w:hAnsi="Times New Roman" w:eastAsia="仿宋_GB2312"/>
          <w:spacing w:val="-6"/>
          <w:sz w:val="32"/>
          <w:szCs w:val="32"/>
        </w:rPr>
        <w:t>用地，改造涉及的土地已确权、登记，不动产权证号为</w:t>
      </w:r>
      <w:r>
        <w:rPr>
          <w:rFonts w:hint="default" w:ascii="Times New Roman" w:hAnsi="Times New Roman" w:eastAsia="仿宋_GB2312" w:cs="Times New Roman"/>
          <w:spacing w:val="-6"/>
          <w:kern w:val="0"/>
          <w:sz w:val="32"/>
          <w:szCs w:val="32"/>
        </w:rPr>
        <w:t>粤（2024）中山市不动产权第0400823号</w:t>
      </w:r>
      <w:r>
        <w:rPr>
          <w:rFonts w:hint="eastAsia" w:ascii="Times New Roman" w:hAnsi="Times New Roman" w:eastAsia="仿宋_GB2312"/>
          <w:spacing w:val="-6"/>
          <w:sz w:val="32"/>
          <w:szCs w:val="32"/>
        </w:rPr>
        <w:t>，为土地权利人梁金泰自</w:t>
      </w:r>
      <w:r>
        <w:rPr>
          <w:rFonts w:hint="default" w:ascii="Times New Roman" w:hAnsi="Times New Roman" w:eastAsia="仿宋_GB2312" w:cs="Times New Roman"/>
          <w:spacing w:val="-6"/>
          <w:kern w:val="0"/>
          <w:sz w:val="32"/>
          <w:szCs w:val="32"/>
        </w:rPr>
        <w:t>1997年6月</w:t>
      </w:r>
      <w:r>
        <w:rPr>
          <w:rFonts w:hint="eastAsia" w:ascii="Times New Roman" w:hAnsi="Times New Roman" w:eastAsia="仿宋_GB2312"/>
          <w:spacing w:val="-6"/>
          <w:sz w:val="32"/>
          <w:szCs w:val="32"/>
        </w:rPr>
        <w:t>开始使用。</w:t>
      </w:r>
    </w:p>
    <w:p w14:paraId="22EC95FA">
      <w:pPr>
        <w:numPr>
          <w:ilvl w:val="255"/>
          <w:numId w:val="0"/>
        </w:numPr>
        <w:adjustRightInd w:val="0"/>
        <w:snapToGrid w:val="0"/>
        <w:spacing w:line="574" w:lineRule="exact"/>
        <w:ind w:firstLine="616" w:firstLineChars="200"/>
        <w:rPr>
          <w:rFonts w:hint="default" w:ascii="Times New Roman" w:hAnsi="Times New Roman" w:eastAsia="楷体" w:cs="Times New Roman"/>
          <w:spacing w:val="-6"/>
          <w:sz w:val="32"/>
          <w:szCs w:val="32"/>
          <w:highlight w:val="none"/>
          <w:lang w:eastAsia="zh-CN"/>
        </w:rPr>
      </w:pPr>
      <w:r>
        <w:rPr>
          <w:rFonts w:hint="default" w:ascii="Times New Roman" w:hAnsi="Times New Roman" w:eastAsia="楷体" w:cs="Times New Roman"/>
          <w:spacing w:val="-6"/>
          <w:sz w:val="32"/>
          <w:szCs w:val="32"/>
          <w:highlight w:val="none"/>
        </w:rPr>
        <w:t>（四）土地利用现状情况</w:t>
      </w:r>
      <w:r>
        <w:rPr>
          <w:rFonts w:hint="default" w:ascii="Times New Roman" w:hAnsi="Times New Roman" w:eastAsia="楷体" w:cs="Times New Roman"/>
          <w:spacing w:val="-6"/>
          <w:sz w:val="32"/>
          <w:szCs w:val="32"/>
          <w:highlight w:val="none"/>
          <w:lang w:eastAsia="zh-CN"/>
        </w:rPr>
        <w:t>。</w:t>
      </w:r>
    </w:p>
    <w:p w14:paraId="69425A94">
      <w:pPr>
        <w:adjustRightInd w:val="0"/>
        <w:snapToGrid w:val="0"/>
        <w:spacing w:line="574" w:lineRule="exact"/>
        <w:ind w:firstLine="616"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highlight w:val="none"/>
        </w:rPr>
        <w:t>改造范围内现有</w:t>
      </w:r>
      <w:r>
        <w:rPr>
          <w:rFonts w:hint="eastAsia" w:ascii="Times New Roman" w:hAnsi="Times New Roman" w:eastAsia="仿宋_GB2312"/>
          <w:spacing w:val="-6"/>
          <w:sz w:val="32"/>
          <w:szCs w:val="32"/>
          <w:highlight w:val="none"/>
          <w:lang w:val="en-US" w:eastAsia="zh-CN"/>
        </w:rPr>
        <w:t>4</w:t>
      </w:r>
      <w:r>
        <w:rPr>
          <w:rFonts w:hint="eastAsia" w:ascii="Times New Roman" w:hAnsi="Times New Roman" w:eastAsia="仿宋_GB2312"/>
          <w:spacing w:val="-6"/>
          <w:sz w:val="32"/>
          <w:szCs w:val="32"/>
          <w:highlight w:val="none"/>
        </w:rPr>
        <w:t>栋建筑物，为梁金泰自</w:t>
      </w:r>
      <w:r>
        <w:rPr>
          <w:rFonts w:hint="default" w:ascii="Times New Roman" w:hAnsi="Times New Roman" w:eastAsia="仿宋_GB2312" w:cs="Times New Roman"/>
          <w:spacing w:val="-6"/>
          <w:kern w:val="0"/>
          <w:sz w:val="32"/>
          <w:szCs w:val="32"/>
          <w:highlight w:val="none"/>
        </w:rPr>
        <w:t>1997年6月</w:t>
      </w:r>
      <w:r>
        <w:rPr>
          <w:rFonts w:hint="eastAsia" w:ascii="Times New Roman" w:hAnsi="Times New Roman" w:eastAsia="仿宋_GB2312"/>
          <w:spacing w:val="-6"/>
          <w:sz w:val="32"/>
          <w:szCs w:val="32"/>
          <w:highlight w:val="none"/>
        </w:rPr>
        <w:t>开</w:t>
      </w:r>
      <w:r>
        <w:rPr>
          <w:rFonts w:hint="eastAsia" w:ascii="Times New Roman" w:hAnsi="Times New Roman" w:eastAsia="仿宋_GB2312"/>
          <w:spacing w:val="-6"/>
          <w:sz w:val="32"/>
          <w:szCs w:val="32"/>
        </w:rPr>
        <w:t>始使用，已按规定办理规划报建等手续。现有建筑面积</w:t>
      </w:r>
      <w:r>
        <w:rPr>
          <w:rFonts w:ascii="Times New Roman" w:hAnsi="Times New Roman" w:eastAsia="仿宋_GB2312"/>
          <w:spacing w:val="-6"/>
          <w:sz w:val="32"/>
          <w:szCs w:val="32"/>
        </w:rPr>
        <w:t>3027.90</w:t>
      </w:r>
      <w:r>
        <w:rPr>
          <w:rFonts w:hint="eastAsia" w:ascii="Times New Roman" w:hAnsi="Times New Roman" w:eastAsia="仿宋_GB2312"/>
          <w:spacing w:val="-6"/>
          <w:sz w:val="32"/>
          <w:szCs w:val="32"/>
        </w:rPr>
        <w:t>平方米，其中2877.08平方米已办理不动产登记手续，剩余</w:t>
      </w:r>
      <w:r>
        <w:rPr>
          <w:rFonts w:ascii="Times New Roman" w:hAnsi="Times New Roman" w:eastAsia="仿宋_GB2312"/>
          <w:spacing w:val="-6"/>
          <w:sz w:val="32"/>
          <w:szCs w:val="32"/>
        </w:rPr>
        <w:t>150.82</w:t>
      </w:r>
      <w:r>
        <w:rPr>
          <w:rFonts w:hint="eastAsia" w:ascii="Times New Roman" w:hAnsi="Times New Roman" w:eastAsia="仿宋_GB2312"/>
          <w:spacing w:val="-6"/>
          <w:sz w:val="32"/>
          <w:szCs w:val="32"/>
        </w:rPr>
        <w:t>平方米未办理规划报建等手续，现状容积率</w:t>
      </w:r>
      <w:r>
        <w:rPr>
          <w:rFonts w:ascii="Times New Roman" w:hAnsi="Times New Roman" w:eastAsia="仿宋_GB2312"/>
          <w:spacing w:val="-6"/>
          <w:sz w:val="32"/>
          <w:szCs w:val="32"/>
        </w:rPr>
        <w:t>0.2</w:t>
      </w:r>
      <w:r>
        <w:rPr>
          <w:rFonts w:hint="eastAsia" w:ascii="Times New Roman" w:hAnsi="Times New Roman" w:eastAsia="仿宋_GB2312"/>
          <w:spacing w:val="-6"/>
          <w:sz w:val="32"/>
          <w:szCs w:val="32"/>
        </w:rPr>
        <w:t>3，作工业用途。</w:t>
      </w:r>
      <w:r>
        <w:rPr>
          <w:rFonts w:hint="eastAsia" w:ascii="Times New Roman" w:hAnsi="Times New Roman" w:eastAsia="仿宋_GB2312"/>
          <w:spacing w:val="-6"/>
          <w:sz w:val="32"/>
          <w:szCs w:val="32"/>
          <w:highlight w:val="none"/>
        </w:rPr>
        <w:t>该地块改造前年产值为</w:t>
      </w:r>
      <w:r>
        <w:rPr>
          <w:rFonts w:hint="eastAsia" w:ascii="Times New Roman" w:hAnsi="Times New Roman" w:eastAsia="仿宋_GB2312"/>
          <w:spacing w:val="-6"/>
          <w:sz w:val="32"/>
          <w:szCs w:val="32"/>
          <w:highlight w:val="none"/>
          <w:lang w:val="en-US" w:eastAsia="zh-CN"/>
        </w:rPr>
        <w:t>0</w:t>
      </w:r>
      <w:r>
        <w:rPr>
          <w:rFonts w:hint="eastAsia" w:ascii="Times New Roman" w:hAnsi="Times New Roman" w:eastAsia="仿宋_GB2312"/>
          <w:spacing w:val="-6"/>
          <w:sz w:val="32"/>
          <w:szCs w:val="32"/>
          <w:highlight w:val="none"/>
        </w:rPr>
        <w:t>万元（折合约</w:t>
      </w:r>
      <w:r>
        <w:rPr>
          <w:rFonts w:hint="eastAsia" w:ascii="Times New Roman" w:hAnsi="Times New Roman" w:eastAsia="仿宋_GB2312"/>
          <w:spacing w:val="-6"/>
          <w:sz w:val="32"/>
          <w:szCs w:val="32"/>
          <w:highlight w:val="none"/>
          <w:lang w:val="en-US" w:eastAsia="zh-CN"/>
        </w:rPr>
        <w:t>0</w:t>
      </w:r>
      <w:r>
        <w:rPr>
          <w:rFonts w:hint="eastAsia" w:ascii="Times New Roman" w:hAnsi="Times New Roman" w:eastAsia="仿宋_GB2312"/>
          <w:spacing w:val="-6"/>
          <w:sz w:val="32"/>
          <w:szCs w:val="32"/>
          <w:highlight w:val="none"/>
        </w:rPr>
        <w:t>万元</w:t>
      </w:r>
      <w:r>
        <w:rPr>
          <w:rFonts w:ascii="Times New Roman" w:hAnsi="Times New Roman" w:eastAsia="仿宋_GB2312"/>
          <w:spacing w:val="-6"/>
          <w:sz w:val="32"/>
          <w:szCs w:val="32"/>
          <w:highlight w:val="none"/>
        </w:rPr>
        <w:t>/</w:t>
      </w:r>
      <w:r>
        <w:rPr>
          <w:rFonts w:hint="eastAsia" w:ascii="Times New Roman" w:hAnsi="Times New Roman" w:eastAsia="仿宋_GB2312"/>
          <w:spacing w:val="-6"/>
          <w:sz w:val="32"/>
          <w:szCs w:val="32"/>
          <w:highlight w:val="none"/>
        </w:rPr>
        <w:t>亩），年税收为</w:t>
      </w:r>
      <w:r>
        <w:rPr>
          <w:rFonts w:hint="eastAsia" w:ascii="Times New Roman" w:hAnsi="Times New Roman" w:eastAsia="仿宋_GB2312"/>
          <w:spacing w:val="-6"/>
          <w:sz w:val="32"/>
          <w:szCs w:val="32"/>
          <w:highlight w:val="none"/>
          <w:lang w:val="en-US" w:eastAsia="zh-CN"/>
        </w:rPr>
        <w:t>0</w:t>
      </w:r>
      <w:r>
        <w:rPr>
          <w:rFonts w:hint="eastAsia" w:ascii="Times New Roman" w:hAnsi="Times New Roman" w:eastAsia="仿宋_GB2312"/>
          <w:spacing w:val="-6"/>
          <w:sz w:val="32"/>
          <w:szCs w:val="32"/>
          <w:highlight w:val="none"/>
        </w:rPr>
        <w:t>万元（折合约</w:t>
      </w:r>
      <w:r>
        <w:rPr>
          <w:rFonts w:hint="eastAsia" w:ascii="Times New Roman" w:hAnsi="Times New Roman" w:eastAsia="仿宋_GB2312"/>
          <w:spacing w:val="-6"/>
          <w:sz w:val="32"/>
          <w:szCs w:val="32"/>
          <w:highlight w:val="none"/>
          <w:lang w:val="en-US" w:eastAsia="zh-CN"/>
        </w:rPr>
        <w:t>0</w:t>
      </w:r>
      <w:r>
        <w:rPr>
          <w:rFonts w:hint="eastAsia" w:ascii="Times New Roman" w:hAnsi="Times New Roman" w:eastAsia="仿宋_GB2312"/>
          <w:spacing w:val="-6"/>
          <w:sz w:val="32"/>
          <w:szCs w:val="32"/>
          <w:highlight w:val="none"/>
        </w:rPr>
        <w:t>万元</w:t>
      </w:r>
      <w:r>
        <w:rPr>
          <w:rFonts w:ascii="Times New Roman" w:hAnsi="Times New Roman" w:eastAsia="仿宋_GB2312"/>
          <w:spacing w:val="-6"/>
          <w:sz w:val="32"/>
          <w:szCs w:val="32"/>
          <w:highlight w:val="none"/>
        </w:rPr>
        <w:t>/</w:t>
      </w:r>
      <w:r>
        <w:rPr>
          <w:rFonts w:hint="eastAsia" w:ascii="Times New Roman" w:hAnsi="Times New Roman" w:eastAsia="仿宋_GB2312"/>
          <w:spacing w:val="-6"/>
          <w:sz w:val="32"/>
          <w:szCs w:val="32"/>
          <w:highlight w:val="none"/>
        </w:rPr>
        <w:t>亩）。</w:t>
      </w:r>
      <w:r>
        <w:rPr>
          <w:rFonts w:hint="eastAsia" w:ascii="Times New Roman" w:hAnsi="Times New Roman" w:eastAsia="仿宋_GB2312"/>
          <w:spacing w:val="-6"/>
          <w:sz w:val="32"/>
          <w:szCs w:val="32"/>
        </w:rPr>
        <w:t>经西区街道办事处研究，认定地块属于低效工业用地。</w:t>
      </w:r>
    </w:p>
    <w:p w14:paraId="3199D9E6">
      <w:pPr>
        <w:adjustRightInd w:val="0"/>
        <w:snapToGrid w:val="0"/>
        <w:spacing w:line="574" w:lineRule="exact"/>
        <w:ind w:firstLine="616"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改造地块不涉及闲置，不涉及抵押、查封、历史文化资源要素和土壤污染潜在监管地块等情况。</w:t>
      </w:r>
    </w:p>
    <w:p w14:paraId="7649293D">
      <w:pPr>
        <w:numPr>
          <w:ilvl w:val="255"/>
          <w:numId w:val="0"/>
        </w:numPr>
        <w:adjustRightInd w:val="0"/>
        <w:snapToGrid w:val="0"/>
        <w:spacing w:line="574" w:lineRule="exact"/>
        <w:ind w:firstLine="616" w:firstLineChars="200"/>
        <w:rPr>
          <w:rFonts w:hint="default" w:ascii="Times New Roman" w:hAnsi="Times New Roman" w:eastAsia="楷体" w:cs="Times New Roman"/>
          <w:spacing w:val="-6"/>
          <w:sz w:val="32"/>
          <w:szCs w:val="32"/>
          <w:lang w:eastAsia="zh-CN"/>
        </w:rPr>
      </w:pPr>
      <w:r>
        <w:rPr>
          <w:rFonts w:hint="default" w:ascii="Times New Roman" w:hAnsi="Times New Roman" w:eastAsia="楷体" w:cs="Times New Roman"/>
          <w:spacing w:val="-6"/>
          <w:sz w:val="32"/>
          <w:szCs w:val="32"/>
        </w:rPr>
        <w:t>（五）规划情况</w:t>
      </w:r>
      <w:r>
        <w:rPr>
          <w:rFonts w:hint="default" w:ascii="Times New Roman" w:hAnsi="Times New Roman" w:eastAsia="楷体" w:cs="Times New Roman"/>
          <w:spacing w:val="-6"/>
          <w:sz w:val="32"/>
          <w:szCs w:val="32"/>
          <w:lang w:eastAsia="zh-CN"/>
        </w:rPr>
        <w:t>。</w:t>
      </w:r>
    </w:p>
    <w:p w14:paraId="6FBFFD72">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地块符合国土空间总体规划、控制性详细规划，已纳入《中山市城市更新（“三旧”）改造专项规划（2020-2035）》（中府函〔2022〕414号）。其中，在国土空间总体规划中，属城乡建设用地1.3290公顷（13289.9平方米，折合约19.93亩）；在《中山市西区沙朗西片区（1201单元）控制性详细规划一般修改（2025）》（中府函〔2025〕47 号）中，一类工业用地1.3173公顷（13172.65平方米，折合约12.11亩），容积率1.0-3.5，绿地率10%-15%，建筑密度35%-60%，建筑限高≤50米; 城镇道路用地0.0119公顷（118.74平方米，折合约0.18亩）。</w:t>
      </w:r>
    </w:p>
    <w:p w14:paraId="1382220D">
      <w:pPr>
        <w:adjustRightInd w:val="0"/>
        <w:snapToGrid w:val="0"/>
        <w:spacing w:line="574"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二、改造意愿情况</w:t>
      </w:r>
    </w:p>
    <w:p w14:paraId="5E641CEF">
      <w:pPr>
        <w:spacing w:line="574" w:lineRule="exact"/>
        <w:ind w:firstLine="616" w:firstLineChars="200"/>
        <w:rPr>
          <w:rFonts w:hint="default"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（一）改造意愿</w:t>
      </w:r>
      <w:r>
        <w:rPr>
          <w:rFonts w:hint="default" w:ascii="Times New Roman" w:hAnsi="Times New Roman" w:eastAsia="楷体_GB2312" w:cs="Times New Roman"/>
          <w:spacing w:val="-6"/>
          <w:kern w:val="0"/>
          <w:sz w:val="32"/>
          <w:szCs w:val="32"/>
          <w:lang w:eastAsia="zh-CN"/>
        </w:rPr>
        <w:t>。</w:t>
      </w:r>
    </w:p>
    <w:p w14:paraId="41B6D936">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改造范围涉及梁金泰1个权利主体，中山市西区街道办事处已按照法律法规，就改造范围、土地现状、改造主体及拟改造情况等事项征询其改造意愿，同意将涉及土地、房屋纳入改造范围。</w:t>
      </w:r>
    </w:p>
    <w:p w14:paraId="1EB7C509">
      <w:pPr>
        <w:spacing w:line="574" w:lineRule="exact"/>
        <w:ind w:firstLine="616" w:firstLineChars="200"/>
        <w:rPr>
          <w:rFonts w:hint="default"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（二）补偿安置情况</w:t>
      </w:r>
      <w:r>
        <w:rPr>
          <w:rFonts w:hint="default" w:ascii="Times New Roman" w:hAnsi="Times New Roman" w:eastAsia="楷体_GB2312" w:cs="Times New Roman"/>
          <w:spacing w:val="-6"/>
          <w:kern w:val="0"/>
          <w:sz w:val="32"/>
          <w:szCs w:val="32"/>
          <w:lang w:eastAsia="zh-CN"/>
        </w:rPr>
        <w:t>。</w:t>
      </w:r>
    </w:p>
    <w:p w14:paraId="0B0EAAA3">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项目明确采取货币补偿的方式补偿，</w:t>
      </w:r>
      <w:r>
        <w:rPr>
          <w:rFonts w:hint="default" w:ascii="Times New Roman" w:hAnsi="Times New Roman" w:eastAsia="仿宋_GB2312" w:cs="Times New Roman"/>
          <w:spacing w:val="-6"/>
          <w:sz w:val="32"/>
        </w:rPr>
        <w:t>由西区街道办事处联合市土地储备中心进行收储，</w:t>
      </w:r>
      <w:r>
        <w:rPr>
          <w:rFonts w:hint="default" w:ascii="Times New Roman" w:hAnsi="Times New Roman" w:eastAsia="仿宋_GB2312" w:cs="Times New Roman"/>
          <w:spacing w:val="-6"/>
          <w:kern w:val="0"/>
          <w:sz w:val="32"/>
          <w:szCs w:val="32"/>
        </w:rPr>
        <w:t>具体补偿金额以签订的协议数据为准</w:t>
      </w:r>
      <w:r>
        <w:rPr>
          <w:rFonts w:ascii="Times New Roman" w:hAnsi="Times New Roman" w:eastAsia="仿宋_GB2312" w:cs="Times New Roman"/>
          <w:spacing w:val="-6"/>
          <w:kern w:val="0"/>
          <w:sz w:val="32"/>
          <w:szCs w:val="32"/>
        </w:rPr>
        <w:t>。</w:t>
      </w:r>
    </w:p>
    <w:p w14:paraId="5F03AE2E">
      <w:pPr>
        <w:adjustRightInd w:val="0"/>
        <w:snapToGrid w:val="0"/>
        <w:spacing w:line="574"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三、改造主体、需办理用地手续及拟改造情况</w:t>
      </w:r>
    </w:p>
    <w:p w14:paraId="74E3DDC2">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根据有关规划要求，改造项目严格按照国土空间总体规划、控制性详细规划管控要求实施建设。</w:t>
      </w:r>
    </w:p>
    <w:p w14:paraId="64BF51DD">
      <w:pPr>
        <w:spacing w:line="574" w:lineRule="exact"/>
        <w:ind w:firstLine="616" w:firstLineChars="200"/>
        <w:rPr>
          <w:rFonts w:hint="default"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（一）改造主体</w:t>
      </w:r>
      <w:r>
        <w:rPr>
          <w:rFonts w:hint="default" w:ascii="Times New Roman" w:hAnsi="Times New Roman" w:eastAsia="楷体_GB2312" w:cs="Times New Roman"/>
          <w:spacing w:val="-6"/>
          <w:kern w:val="0"/>
          <w:sz w:val="32"/>
          <w:szCs w:val="32"/>
          <w:lang w:eastAsia="zh-CN"/>
        </w:rPr>
        <w:t>。</w:t>
      </w:r>
    </w:p>
    <w:p w14:paraId="1AB464D4">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该项目属于“工改工”项目，拟采取政府整备改造方式，由</w:t>
      </w:r>
      <w:r>
        <w:rPr>
          <w:rFonts w:hint="default" w:ascii="Times New Roman" w:hAnsi="Times New Roman" w:eastAsia="仿宋_GB2312" w:cs="Times New Roman"/>
          <w:spacing w:val="-6"/>
          <w:sz w:val="32"/>
        </w:rPr>
        <w:t>西区街道办事处</w:t>
      </w:r>
      <w:r>
        <w:rPr>
          <w:rFonts w:hint="default" w:ascii="Times New Roman" w:hAnsi="Times New Roman" w:eastAsia="仿宋_GB2312" w:cs="Times New Roman"/>
          <w:spacing w:val="-6"/>
          <w:kern w:val="0"/>
          <w:sz w:val="32"/>
          <w:szCs w:val="32"/>
        </w:rPr>
        <w:t>通过公开方式确定改造主体实施全面改造。</w:t>
      </w:r>
    </w:p>
    <w:p w14:paraId="158CCED1">
      <w:pPr>
        <w:spacing w:line="574" w:lineRule="exact"/>
        <w:ind w:firstLine="616" w:firstLineChars="200"/>
        <w:rPr>
          <w:rFonts w:hint="default"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（二）需办理的用地手续</w:t>
      </w:r>
      <w:r>
        <w:rPr>
          <w:rFonts w:hint="default" w:ascii="Times New Roman" w:hAnsi="Times New Roman" w:eastAsia="楷体_GB2312" w:cs="Times New Roman"/>
          <w:spacing w:val="-6"/>
          <w:kern w:val="0"/>
          <w:sz w:val="32"/>
          <w:szCs w:val="32"/>
          <w:lang w:eastAsia="zh-CN"/>
        </w:rPr>
        <w:t>。</w:t>
      </w:r>
    </w:p>
    <w:p w14:paraId="55E6EB6F">
      <w:pPr>
        <w:spacing w:line="574" w:lineRule="exact"/>
        <w:ind w:firstLine="619"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b/>
          <w:bCs/>
          <w:spacing w:val="-6"/>
          <w:kern w:val="0"/>
          <w:sz w:val="32"/>
          <w:szCs w:val="32"/>
        </w:rPr>
        <w:t>1.国有建设用地收回。</w:t>
      </w:r>
      <w:r>
        <w:rPr>
          <w:rFonts w:hint="default" w:ascii="Times New Roman" w:hAnsi="Times New Roman" w:eastAsia="仿宋_GB2312" w:cs="Times New Roman"/>
          <w:spacing w:val="-6"/>
          <w:kern w:val="0"/>
          <w:sz w:val="32"/>
          <w:szCs w:val="32"/>
        </w:rPr>
        <w:t>由西区街道办事处按程序收回梁金泰1.3290 公顷（13289.9平方米，折合约19.93亩）的1宗国有建设用地使用权。</w:t>
      </w:r>
    </w:p>
    <w:p w14:paraId="16E2F46B">
      <w:pPr>
        <w:spacing w:line="574" w:lineRule="exact"/>
        <w:ind w:firstLine="619" w:firstLineChars="200"/>
        <w:rPr>
          <w:rFonts w:hint="eastAsia" w:ascii="Times New Roman" w:hAnsi="Times New Roman" w:eastAsia="仿宋_GB2312" w:cs="Times New Roman"/>
          <w:spacing w:val="-6"/>
          <w:kern w:val="0"/>
          <w:sz w:val="32"/>
          <w:szCs w:val="32"/>
          <w:lang w:eastAsia="zh-CN"/>
        </w:rPr>
      </w:pPr>
      <w:r>
        <w:rPr>
          <w:rFonts w:hint="default" w:ascii="Times New Roman" w:hAnsi="Times New Roman" w:eastAsia="仿宋_GB2312" w:cs="Times New Roman"/>
          <w:b/>
          <w:bCs/>
          <w:spacing w:val="-6"/>
          <w:kern w:val="0"/>
          <w:sz w:val="32"/>
          <w:szCs w:val="32"/>
        </w:rPr>
        <w:t>2.土地供应。</w:t>
      </w:r>
      <w:r>
        <w:rPr>
          <w:rFonts w:hint="default" w:ascii="Times New Roman" w:hAnsi="Times New Roman" w:eastAsia="仿宋_GB2312" w:cs="Times New Roman"/>
          <w:spacing w:val="-6"/>
          <w:kern w:val="0"/>
          <w:sz w:val="32"/>
          <w:szCs w:val="32"/>
        </w:rPr>
        <w:t>交由政府整备的1.3290 公顷（13289.9平方米，折合约19.93亩）用地，依据《中山市西区沙朗西片区（1201单元）控制性详细规划一般修改（2025）》（中府函〔2025〕47 号），1.3173公顷（13172.65平方米，折合约12.11亩）规划为一类工业用地拟采用公开出让方式供地给改造主体；规划城市道路用地0.0119公顷（118.74平方米，折合约0.18亩）拟采用划拨方式供地给西区街道办事处（上述面积以办理相关手续出具的测量图为准）。</w:t>
      </w:r>
      <w:r>
        <w:rPr>
          <w:rFonts w:hint="default" w:ascii="Times New Roman" w:hAnsi="Times New Roman" w:eastAsia="仿宋_GB2312"/>
          <w:spacing w:val="-6"/>
          <w:kern w:val="0"/>
          <w:sz w:val="32"/>
          <w:szCs w:val="32"/>
        </w:rPr>
        <w:t>若涉及规划调整的，政府整备后按照调整的规划用途和土地供应相关要求办理土地供应手续</w:t>
      </w:r>
      <w:r>
        <w:rPr>
          <w:rFonts w:hint="eastAsia" w:ascii="Times New Roman" w:hAnsi="Times New Roman" w:eastAsia="仿宋_GB2312"/>
          <w:spacing w:val="-6"/>
          <w:kern w:val="0"/>
          <w:sz w:val="32"/>
          <w:szCs w:val="32"/>
          <w:lang w:eastAsia="zh-CN"/>
        </w:rPr>
        <w:t>。</w:t>
      </w:r>
    </w:p>
    <w:p w14:paraId="1BC76059">
      <w:pPr>
        <w:spacing w:line="574" w:lineRule="exact"/>
        <w:ind w:firstLine="616" w:firstLineChars="200"/>
        <w:rPr>
          <w:rFonts w:hint="default" w:ascii="Times New Roman" w:hAnsi="Times New Roman" w:eastAsia="楷体_GB2312" w:cs="Times New Roman"/>
          <w:spacing w:val="-6"/>
          <w:kern w:val="0"/>
          <w:sz w:val="32"/>
          <w:szCs w:val="32"/>
          <w:lang w:eastAsia="zh-CN"/>
        </w:rPr>
      </w:pPr>
      <w:r>
        <w:rPr>
          <w:rFonts w:hint="default" w:ascii="Times New Roman" w:hAnsi="Times New Roman" w:eastAsia="楷体_GB2312" w:cs="Times New Roman"/>
          <w:spacing w:val="-6"/>
          <w:kern w:val="0"/>
          <w:sz w:val="32"/>
          <w:szCs w:val="32"/>
        </w:rPr>
        <w:t>（三）拟改造情况</w:t>
      </w:r>
      <w:r>
        <w:rPr>
          <w:rFonts w:hint="default" w:ascii="Times New Roman" w:hAnsi="Times New Roman" w:eastAsia="楷体_GB2312" w:cs="Times New Roman"/>
          <w:spacing w:val="-6"/>
          <w:kern w:val="0"/>
          <w:sz w:val="32"/>
          <w:szCs w:val="32"/>
          <w:lang w:eastAsia="zh-CN"/>
        </w:rPr>
        <w:t>。</w:t>
      </w:r>
    </w:p>
    <w:p w14:paraId="4AC80801">
      <w:pPr>
        <w:spacing w:line="574" w:lineRule="exact"/>
        <w:ind w:firstLine="616" w:firstLineChars="20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kern w:val="0"/>
          <w:sz w:val="32"/>
          <w:szCs w:val="32"/>
        </w:rPr>
        <w:t>公开出让的土</w:t>
      </w:r>
      <w:bookmarkStart w:id="0" w:name="_GoBack"/>
      <w:bookmarkEnd w:id="0"/>
      <w:r>
        <w:rPr>
          <w:rFonts w:hint="default" w:ascii="Times New Roman" w:hAnsi="Times New Roman" w:eastAsia="仿宋_GB2312" w:cs="Times New Roman"/>
          <w:spacing w:val="-6"/>
          <w:kern w:val="0"/>
          <w:sz w:val="32"/>
          <w:szCs w:val="32"/>
        </w:rPr>
        <w:t>地，改造后将用于工业用途，</w:t>
      </w:r>
      <w:r>
        <w:rPr>
          <w:rFonts w:hint="default" w:ascii="Times New Roman" w:hAnsi="Times New Roman" w:eastAsia="仿宋_GB2312" w:cs="Times New Roman"/>
          <w:spacing w:val="-6"/>
          <w:sz w:val="32"/>
          <w:szCs w:val="32"/>
          <w:lang w:bidi="ar"/>
        </w:rPr>
        <w:t>项目改造后引进产业须符合中山市产业导向</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sz w:val="32"/>
          <w:szCs w:val="32"/>
        </w:rPr>
        <w:t>后续改造将严格依据控制性详细规划和公开出让的管控指标进行建设</w:t>
      </w:r>
      <w:r>
        <w:rPr>
          <w:rFonts w:hint="default" w:ascii="Times New Roman" w:hAnsi="Times New Roman" w:eastAsia="仿宋_GB2312" w:cs="Times New Roman"/>
          <w:spacing w:val="-6"/>
          <w:kern w:val="0"/>
          <w:sz w:val="32"/>
          <w:szCs w:val="32"/>
        </w:rPr>
        <w:t>。</w:t>
      </w:r>
      <w:r>
        <w:rPr>
          <w:rFonts w:hint="default" w:ascii="Times New Roman" w:hAnsi="Times New Roman" w:eastAsia="仿宋_GB2312"/>
          <w:spacing w:val="-6"/>
          <w:kern w:val="0"/>
          <w:sz w:val="32"/>
          <w:szCs w:val="32"/>
        </w:rPr>
        <w:t>若涉及规划调整的，政府整备后按照调整的规划用途和土地供应相关要求实施改造。</w:t>
      </w:r>
    </w:p>
    <w:p w14:paraId="76E7E7C0">
      <w:pPr>
        <w:spacing w:line="574" w:lineRule="exact"/>
        <w:ind w:firstLine="616" w:firstLineChars="20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项目相关情况符合国家《产业结构调整指导目录》《</w:t>
      </w:r>
      <w:r>
        <w:rPr>
          <w:rFonts w:hint="default" w:ascii="Times New Roman" w:hAnsi="Times New Roman" w:eastAsia="仿宋_GB2312" w:cs="Times New Roman"/>
          <w:spacing w:val="-6"/>
          <w:sz w:val="32"/>
          <w:szCs w:val="32"/>
        </w:rPr>
        <w:t>中山市“三线一单”生态环境分区管控方案</w:t>
      </w:r>
      <w:r>
        <w:rPr>
          <w:rFonts w:hint="default" w:ascii="Times New Roman" w:hAnsi="Times New Roman" w:eastAsia="仿宋_GB2312" w:cs="Times New Roman"/>
          <w:spacing w:val="-6"/>
          <w:sz w:val="32"/>
        </w:rPr>
        <w:t>》《中山市涉挥发性有机物项目环保管理规定》</w:t>
      </w:r>
      <w:r>
        <w:rPr>
          <w:rFonts w:hint="default" w:ascii="Times New Roman" w:hAnsi="Times New Roman" w:eastAsia="仿宋_GB2312" w:cs="Times New Roman"/>
          <w:spacing w:val="-6"/>
          <w:kern w:val="0"/>
          <w:sz w:val="32"/>
          <w:szCs w:val="32"/>
        </w:rPr>
        <w:t>等文件准入指标要求</w:t>
      </w:r>
      <w:r>
        <w:rPr>
          <w:rFonts w:hint="default" w:ascii="Times New Roman" w:hAnsi="Times New Roman" w:eastAsia="仿宋_GB2312" w:cs="Times New Roman"/>
          <w:spacing w:val="-6"/>
          <w:sz w:val="32"/>
        </w:rPr>
        <w:t>。改造后投资强度、年产值、所产生的年税收和分割销售比例以项目招商准入审定结果为准。</w:t>
      </w:r>
    </w:p>
    <w:p w14:paraId="4590FEEA">
      <w:pPr>
        <w:spacing w:line="574"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四、资金筹措</w:t>
      </w:r>
    </w:p>
    <w:p w14:paraId="6690205C">
      <w:pPr>
        <w:spacing w:line="574" w:lineRule="exact"/>
        <w:ind w:firstLine="616" w:firstLineChars="200"/>
        <w:rPr>
          <w:rFonts w:hint="default" w:ascii="Times New Roman" w:hAnsi="Times New Roman" w:eastAsia="仿宋_GB2312" w:cs="Times New Roman"/>
          <w:spacing w:val="-6"/>
          <w:kern w:val="0"/>
          <w:sz w:val="32"/>
          <w:szCs w:val="32"/>
        </w:rPr>
      </w:pPr>
      <w:r>
        <w:rPr>
          <w:rFonts w:hint="default" w:ascii="Times New Roman" w:hAnsi="Times New Roman" w:eastAsia="仿宋_GB2312" w:cs="Times New Roman"/>
          <w:spacing w:val="-6"/>
          <w:kern w:val="0"/>
          <w:sz w:val="32"/>
          <w:szCs w:val="32"/>
        </w:rPr>
        <w:t>公开出让的规划一类工业用地由公开出让确认的改造主体投入资金进行开发建设。</w:t>
      </w:r>
    </w:p>
    <w:p w14:paraId="423662F5">
      <w:pPr>
        <w:spacing w:line="574"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五、开发时序</w:t>
      </w:r>
    </w:p>
    <w:p w14:paraId="3B7F1C4F">
      <w:pPr>
        <w:spacing w:line="574" w:lineRule="exact"/>
        <w:ind w:firstLine="616" w:firstLineChars="20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公开出让的规划一类工业用地具体开发时间以届时的供地方案为准。</w:t>
      </w:r>
    </w:p>
    <w:p w14:paraId="166DCB3C">
      <w:pPr>
        <w:spacing w:line="574" w:lineRule="exact"/>
        <w:ind w:firstLine="616" w:firstLineChars="200"/>
        <w:rPr>
          <w:rFonts w:hint="default" w:ascii="Times New Roman" w:hAnsi="Times New Roman" w:eastAsia="黑体" w:cs="Times New Roman"/>
          <w:spacing w:val="-6"/>
          <w:kern w:val="0"/>
          <w:sz w:val="32"/>
          <w:szCs w:val="32"/>
        </w:rPr>
      </w:pPr>
      <w:r>
        <w:rPr>
          <w:rFonts w:hint="default" w:ascii="Times New Roman" w:hAnsi="Times New Roman" w:eastAsia="黑体" w:cs="Times New Roman"/>
          <w:spacing w:val="-6"/>
          <w:kern w:val="0"/>
          <w:sz w:val="32"/>
          <w:szCs w:val="32"/>
        </w:rPr>
        <w:t>六、实施监管</w:t>
      </w:r>
    </w:p>
    <w:p w14:paraId="0D1A69AF">
      <w:pPr>
        <w:widowControl/>
        <w:adjustRightInd w:val="0"/>
        <w:snapToGrid w:val="0"/>
        <w:spacing w:line="574" w:lineRule="exact"/>
        <w:ind w:firstLine="616" w:firstLineChars="200"/>
        <w:rPr>
          <w:rFonts w:hint="default" w:ascii="Times New Roman" w:hAnsi="Times New Roman" w:eastAsia="仿宋_GB2312" w:cs="Times New Roman"/>
          <w:color w:val="000000"/>
          <w:spacing w:val="-6"/>
          <w:kern w:val="0"/>
          <w:sz w:val="32"/>
          <w:szCs w:val="32"/>
        </w:rPr>
      </w:pPr>
      <w:r>
        <w:rPr>
          <w:rFonts w:hint="default" w:ascii="Times New Roman" w:hAnsi="Times New Roman" w:eastAsia="仿宋_GB2312" w:cs="Times New Roman"/>
          <w:spacing w:val="-6"/>
          <w:kern w:val="0"/>
          <w:sz w:val="32"/>
          <w:szCs w:val="32"/>
        </w:rPr>
        <w:t>以公开出让后签订的监管协议为准。</w:t>
      </w:r>
    </w:p>
    <w:p w14:paraId="212F0EBA">
      <w:pPr>
        <w:adjustRightInd w:val="0"/>
        <w:snapToGrid w:val="0"/>
        <w:spacing w:line="574" w:lineRule="exact"/>
        <w:ind w:firstLine="616" w:firstLineChars="200"/>
        <w:rPr>
          <w:rFonts w:ascii="Times New Roman" w:hAnsi="Times New Roman" w:eastAsia="仿宋_GB2312"/>
          <w:spacing w:val="-6"/>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AD9A8F4-715A-4D2B-B850-18448CCC4A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A0C15402-4656-4870-9230-C4173B05383A}"/>
  </w:font>
  <w:font w:name="华文细黑">
    <w:panose1 w:val="02010600040101010101"/>
    <w:charset w:val="86"/>
    <w:family w:val="auto"/>
    <w:pitch w:val="default"/>
    <w:sig w:usb0="00000287" w:usb1="080F0000" w:usb2="00000000" w:usb3="00000000" w:csb0="0004009F" w:csb1="DFD70000"/>
    <w:embedRegular r:id="rId3" w:fontKey="{D0460484-EF1A-4DFB-8045-E366D94DC2BC}"/>
  </w:font>
  <w:font w:name="仿宋_GB2312">
    <w:panose1 w:val="02010609030101010101"/>
    <w:charset w:val="86"/>
    <w:family w:val="modern"/>
    <w:pitch w:val="default"/>
    <w:sig w:usb0="00000001" w:usb1="080E0000" w:usb2="00000000" w:usb3="00000000" w:csb0="00040000" w:csb1="00000000"/>
    <w:embedRegular r:id="rId4" w:fontKey="{DAA5B6C8-684D-4A8E-95F1-6BF810903B16}"/>
  </w:font>
  <w:font w:name="楷体">
    <w:panose1 w:val="02010609060101010101"/>
    <w:charset w:val="86"/>
    <w:family w:val="modern"/>
    <w:pitch w:val="default"/>
    <w:sig w:usb0="800002BF" w:usb1="38CF7CFA" w:usb2="00000016" w:usb3="00000000" w:csb0="00040001" w:csb1="00000000"/>
    <w:embedRegular r:id="rId5" w:fontKey="{D340CABC-8BC5-4FA7-9C53-19BF99EAF26F}"/>
  </w:font>
  <w:font w:name="楷体_GB2312">
    <w:panose1 w:val="02010609030101010101"/>
    <w:charset w:val="86"/>
    <w:family w:val="auto"/>
    <w:pitch w:val="default"/>
    <w:sig w:usb0="00000001" w:usb1="080E0000" w:usb2="00000000" w:usb3="00000000" w:csb0="00040000" w:csb1="00000000"/>
    <w:embedRegular r:id="rId6" w:fontKey="{EFA6B5EF-FABF-4BBC-BB6E-95513E8C608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2E19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36E04">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036E04">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zNDdmNWI2M2ZkZTkxMWQ5NGVlYTEzZGQzNTJmNzMifQ=="/>
  </w:docVars>
  <w:rsids>
    <w:rsidRoot w:val="009F3C62"/>
    <w:rsid w:val="00100C0F"/>
    <w:rsid w:val="00153F6B"/>
    <w:rsid w:val="001D7704"/>
    <w:rsid w:val="00207098"/>
    <w:rsid w:val="002A5B0B"/>
    <w:rsid w:val="00564438"/>
    <w:rsid w:val="005658DB"/>
    <w:rsid w:val="007412C8"/>
    <w:rsid w:val="007D2114"/>
    <w:rsid w:val="00830BEC"/>
    <w:rsid w:val="008F538B"/>
    <w:rsid w:val="00953991"/>
    <w:rsid w:val="009F3C62"/>
    <w:rsid w:val="00A1103F"/>
    <w:rsid w:val="00A954A2"/>
    <w:rsid w:val="00AB6CF3"/>
    <w:rsid w:val="00B342C7"/>
    <w:rsid w:val="00B64F05"/>
    <w:rsid w:val="00BD158F"/>
    <w:rsid w:val="00BE4493"/>
    <w:rsid w:val="00CA0FCF"/>
    <w:rsid w:val="00CC4F83"/>
    <w:rsid w:val="00DC1BC5"/>
    <w:rsid w:val="00DD4EC7"/>
    <w:rsid w:val="00F43311"/>
    <w:rsid w:val="00F7170E"/>
    <w:rsid w:val="00F90735"/>
    <w:rsid w:val="01B361CC"/>
    <w:rsid w:val="01B80645"/>
    <w:rsid w:val="01CB47DB"/>
    <w:rsid w:val="02663C42"/>
    <w:rsid w:val="02A45E37"/>
    <w:rsid w:val="02B56E27"/>
    <w:rsid w:val="02C9625F"/>
    <w:rsid w:val="030E0808"/>
    <w:rsid w:val="03B95D46"/>
    <w:rsid w:val="042A532E"/>
    <w:rsid w:val="04732D0E"/>
    <w:rsid w:val="04B44530"/>
    <w:rsid w:val="04B50431"/>
    <w:rsid w:val="04D42B5F"/>
    <w:rsid w:val="04DC5778"/>
    <w:rsid w:val="054B3BB1"/>
    <w:rsid w:val="0624184E"/>
    <w:rsid w:val="063C4668"/>
    <w:rsid w:val="06540AC8"/>
    <w:rsid w:val="067C069D"/>
    <w:rsid w:val="06AB501D"/>
    <w:rsid w:val="06AD3E4F"/>
    <w:rsid w:val="06EA3F7C"/>
    <w:rsid w:val="073D53EE"/>
    <w:rsid w:val="078A56A5"/>
    <w:rsid w:val="07A44C3A"/>
    <w:rsid w:val="07A83933"/>
    <w:rsid w:val="07BB3385"/>
    <w:rsid w:val="08123935"/>
    <w:rsid w:val="08502D7A"/>
    <w:rsid w:val="09235369"/>
    <w:rsid w:val="0A0779D0"/>
    <w:rsid w:val="0A232419"/>
    <w:rsid w:val="0A2C47BA"/>
    <w:rsid w:val="0A5652CE"/>
    <w:rsid w:val="0A6F3E76"/>
    <w:rsid w:val="0AD87D5F"/>
    <w:rsid w:val="0B3B393F"/>
    <w:rsid w:val="0BB96B3C"/>
    <w:rsid w:val="0C6C0B64"/>
    <w:rsid w:val="0C961313"/>
    <w:rsid w:val="0CF94CB8"/>
    <w:rsid w:val="0D0F0A4A"/>
    <w:rsid w:val="0D385FEF"/>
    <w:rsid w:val="0D6A4A4B"/>
    <w:rsid w:val="0D6F6DAC"/>
    <w:rsid w:val="0DB06593"/>
    <w:rsid w:val="0DC00DC3"/>
    <w:rsid w:val="0E2F0D1A"/>
    <w:rsid w:val="0E442473"/>
    <w:rsid w:val="0E880CEF"/>
    <w:rsid w:val="0E9F2044"/>
    <w:rsid w:val="0EEE3514"/>
    <w:rsid w:val="0FD949E5"/>
    <w:rsid w:val="10090575"/>
    <w:rsid w:val="1066035B"/>
    <w:rsid w:val="10881B24"/>
    <w:rsid w:val="10D3326C"/>
    <w:rsid w:val="116E12A3"/>
    <w:rsid w:val="1196151C"/>
    <w:rsid w:val="11DE6B73"/>
    <w:rsid w:val="1205519F"/>
    <w:rsid w:val="120D1A31"/>
    <w:rsid w:val="12476619"/>
    <w:rsid w:val="12487239"/>
    <w:rsid w:val="12532DCB"/>
    <w:rsid w:val="12EA0C3B"/>
    <w:rsid w:val="1324011C"/>
    <w:rsid w:val="1389284F"/>
    <w:rsid w:val="13A653F2"/>
    <w:rsid w:val="13BA5D6B"/>
    <w:rsid w:val="13C96E5A"/>
    <w:rsid w:val="140A42B5"/>
    <w:rsid w:val="142F0C33"/>
    <w:rsid w:val="145C7162"/>
    <w:rsid w:val="14720D9C"/>
    <w:rsid w:val="14886115"/>
    <w:rsid w:val="14914A8C"/>
    <w:rsid w:val="149570C7"/>
    <w:rsid w:val="14A41CC1"/>
    <w:rsid w:val="14DF1632"/>
    <w:rsid w:val="154E3B5E"/>
    <w:rsid w:val="15681490"/>
    <w:rsid w:val="159D6001"/>
    <w:rsid w:val="15BD004D"/>
    <w:rsid w:val="15F87315"/>
    <w:rsid w:val="15FD48CE"/>
    <w:rsid w:val="166D01CB"/>
    <w:rsid w:val="16BC7588"/>
    <w:rsid w:val="16FD19F6"/>
    <w:rsid w:val="174F436F"/>
    <w:rsid w:val="17577BA6"/>
    <w:rsid w:val="175B1F3F"/>
    <w:rsid w:val="17866D13"/>
    <w:rsid w:val="17A32DEB"/>
    <w:rsid w:val="182B0812"/>
    <w:rsid w:val="1833416F"/>
    <w:rsid w:val="1851735A"/>
    <w:rsid w:val="18A74F98"/>
    <w:rsid w:val="18DB30DD"/>
    <w:rsid w:val="18E35669"/>
    <w:rsid w:val="19143034"/>
    <w:rsid w:val="19FD1721"/>
    <w:rsid w:val="1A1109D3"/>
    <w:rsid w:val="1A790E2B"/>
    <w:rsid w:val="1AB04418"/>
    <w:rsid w:val="1ACC6CA4"/>
    <w:rsid w:val="1B9937AE"/>
    <w:rsid w:val="1BAE1893"/>
    <w:rsid w:val="1BC752FA"/>
    <w:rsid w:val="1C0074A0"/>
    <w:rsid w:val="1C151423"/>
    <w:rsid w:val="1C1C5327"/>
    <w:rsid w:val="1C314741"/>
    <w:rsid w:val="1C5862E6"/>
    <w:rsid w:val="1CA85730"/>
    <w:rsid w:val="1D644776"/>
    <w:rsid w:val="1D7E22BD"/>
    <w:rsid w:val="1DBD04DA"/>
    <w:rsid w:val="1DF85954"/>
    <w:rsid w:val="1E152075"/>
    <w:rsid w:val="1E2721E6"/>
    <w:rsid w:val="1F316E54"/>
    <w:rsid w:val="1F8D0609"/>
    <w:rsid w:val="1FAD7985"/>
    <w:rsid w:val="1FAE535E"/>
    <w:rsid w:val="1FB442AF"/>
    <w:rsid w:val="1FF2321C"/>
    <w:rsid w:val="204E7DFC"/>
    <w:rsid w:val="20C26BB0"/>
    <w:rsid w:val="210A089E"/>
    <w:rsid w:val="210E4023"/>
    <w:rsid w:val="216A06E2"/>
    <w:rsid w:val="219519F6"/>
    <w:rsid w:val="21A93CAA"/>
    <w:rsid w:val="21AD5376"/>
    <w:rsid w:val="21D13E07"/>
    <w:rsid w:val="21D90794"/>
    <w:rsid w:val="21DD3950"/>
    <w:rsid w:val="21E36755"/>
    <w:rsid w:val="21EB07A6"/>
    <w:rsid w:val="22312BAB"/>
    <w:rsid w:val="22A04AF7"/>
    <w:rsid w:val="22AB6FED"/>
    <w:rsid w:val="22D5323E"/>
    <w:rsid w:val="22E41037"/>
    <w:rsid w:val="22FF2D1F"/>
    <w:rsid w:val="232C60EB"/>
    <w:rsid w:val="23950A53"/>
    <w:rsid w:val="23A221AF"/>
    <w:rsid w:val="23BF0FAD"/>
    <w:rsid w:val="23CC7894"/>
    <w:rsid w:val="23E10025"/>
    <w:rsid w:val="23F64280"/>
    <w:rsid w:val="23FC5D5D"/>
    <w:rsid w:val="24DA7642"/>
    <w:rsid w:val="24DD5F9E"/>
    <w:rsid w:val="24FC3D72"/>
    <w:rsid w:val="252047D7"/>
    <w:rsid w:val="252807CD"/>
    <w:rsid w:val="255E69C7"/>
    <w:rsid w:val="25662AE5"/>
    <w:rsid w:val="258E05F4"/>
    <w:rsid w:val="2596578B"/>
    <w:rsid w:val="25973209"/>
    <w:rsid w:val="25AB17E9"/>
    <w:rsid w:val="25D20B93"/>
    <w:rsid w:val="25FB724C"/>
    <w:rsid w:val="25FB7ABF"/>
    <w:rsid w:val="26474157"/>
    <w:rsid w:val="265D5C22"/>
    <w:rsid w:val="26AA1410"/>
    <w:rsid w:val="26FD47D6"/>
    <w:rsid w:val="271B299E"/>
    <w:rsid w:val="273307C3"/>
    <w:rsid w:val="27B82A74"/>
    <w:rsid w:val="27DA4FB6"/>
    <w:rsid w:val="27F07EA4"/>
    <w:rsid w:val="280742E7"/>
    <w:rsid w:val="282B222E"/>
    <w:rsid w:val="28F8523B"/>
    <w:rsid w:val="291F75C7"/>
    <w:rsid w:val="29C1661C"/>
    <w:rsid w:val="2A0666AE"/>
    <w:rsid w:val="2A6022F8"/>
    <w:rsid w:val="2A961618"/>
    <w:rsid w:val="2AB90481"/>
    <w:rsid w:val="2AD94114"/>
    <w:rsid w:val="2AF96930"/>
    <w:rsid w:val="2B5675C5"/>
    <w:rsid w:val="2B9A5A5C"/>
    <w:rsid w:val="2C666A00"/>
    <w:rsid w:val="2C6F5308"/>
    <w:rsid w:val="2C831CFB"/>
    <w:rsid w:val="2C9D121A"/>
    <w:rsid w:val="2CFC2EE7"/>
    <w:rsid w:val="2D6A3D37"/>
    <w:rsid w:val="2D74087F"/>
    <w:rsid w:val="2D9347F5"/>
    <w:rsid w:val="2DA328D9"/>
    <w:rsid w:val="2DFE6167"/>
    <w:rsid w:val="2E4E6207"/>
    <w:rsid w:val="2E9321E6"/>
    <w:rsid w:val="2E947C3C"/>
    <w:rsid w:val="2ECD3075"/>
    <w:rsid w:val="2EDE4F6F"/>
    <w:rsid w:val="2F1F509D"/>
    <w:rsid w:val="2F2C5CBC"/>
    <w:rsid w:val="2F2C6C85"/>
    <w:rsid w:val="2F954AA7"/>
    <w:rsid w:val="2FE546DD"/>
    <w:rsid w:val="30A86749"/>
    <w:rsid w:val="30E13FF7"/>
    <w:rsid w:val="30FD3114"/>
    <w:rsid w:val="310357C2"/>
    <w:rsid w:val="310C0D96"/>
    <w:rsid w:val="31940E9D"/>
    <w:rsid w:val="31F06BEE"/>
    <w:rsid w:val="320227D4"/>
    <w:rsid w:val="322D097A"/>
    <w:rsid w:val="32386551"/>
    <w:rsid w:val="32A8111E"/>
    <w:rsid w:val="32C21C16"/>
    <w:rsid w:val="33090A4C"/>
    <w:rsid w:val="330A6390"/>
    <w:rsid w:val="33374333"/>
    <w:rsid w:val="333C2960"/>
    <w:rsid w:val="337201F5"/>
    <w:rsid w:val="337335F5"/>
    <w:rsid w:val="338D69D1"/>
    <w:rsid w:val="342658E5"/>
    <w:rsid w:val="343C3D66"/>
    <w:rsid w:val="349F45DB"/>
    <w:rsid w:val="34B166F0"/>
    <w:rsid w:val="34F7778D"/>
    <w:rsid w:val="34FE3837"/>
    <w:rsid w:val="352914C3"/>
    <w:rsid w:val="353103B5"/>
    <w:rsid w:val="35524739"/>
    <w:rsid w:val="35864AD5"/>
    <w:rsid w:val="35C11F23"/>
    <w:rsid w:val="35F46976"/>
    <w:rsid w:val="361575D3"/>
    <w:rsid w:val="365B0989"/>
    <w:rsid w:val="36FF649E"/>
    <w:rsid w:val="371F4F7F"/>
    <w:rsid w:val="37614820"/>
    <w:rsid w:val="379D1E63"/>
    <w:rsid w:val="37EE6BCA"/>
    <w:rsid w:val="3800531B"/>
    <w:rsid w:val="38985E43"/>
    <w:rsid w:val="38A73F51"/>
    <w:rsid w:val="38D37613"/>
    <w:rsid w:val="39205228"/>
    <w:rsid w:val="396C34FF"/>
    <w:rsid w:val="3990319A"/>
    <w:rsid w:val="399860D0"/>
    <w:rsid w:val="39DC6E61"/>
    <w:rsid w:val="39ED148D"/>
    <w:rsid w:val="39F564CE"/>
    <w:rsid w:val="3A055696"/>
    <w:rsid w:val="3A344D51"/>
    <w:rsid w:val="3A6030ED"/>
    <w:rsid w:val="3ACE6892"/>
    <w:rsid w:val="3B4B3764"/>
    <w:rsid w:val="3BC177AB"/>
    <w:rsid w:val="3C2D2E8F"/>
    <w:rsid w:val="3C3F3B86"/>
    <w:rsid w:val="3C8A7F52"/>
    <w:rsid w:val="3CBA2A46"/>
    <w:rsid w:val="3D31115C"/>
    <w:rsid w:val="3D465B6F"/>
    <w:rsid w:val="3D8F570E"/>
    <w:rsid w:val="3DF5365F"/>
    <w:rsid w:val="3E3819CB"/>
    <w:rsid w:val="3EAB20E9"/>
    <w:rsid w:val="3EC71899"/>
    <w:rsid w:val="3ED80945"/>
    <w:rsid w:val="3EF47905"/>
    <w:rsid w:val="3F2F76CD"/>
    <w:rsid w:val="3F5B6AA7"/>
    <w:rsid w:val="3FC70276"/>
    <w:rsid w:val="3FC95959"/>
    <w:rsid w:val="3FDD1D5A"/>
    <w:rsid w:val="40244109"/>
    <w:rsid w:val="40365855"/>
    <w:rsid w:val="407C1221"/>
    <w:rsid w:val="40835840"/>
    <w:rsid w:val="40B36613"/>
    <w:rsid w:val="40EF0320"/>
    <w:rsid w:val="40F82219"/>
    <w:rsid w:val="41336743"/>
    <w:rsid w:val="414C4638"/>
    <w:rsid w:val="41505A97"/>
    <w:rsid w:val="41A236B8"/>
    <w:rsid w:val="42435F02"/>
    <w:rsid w:val="42AB51E8"/>
    <w:rsid w:val="42DB0806"/>
    <w:rsid w:val="432E353A"/>
    <w:rsid w:val="43383798"/>
    <w:rsid w:val="439A05A2"/>
    <w:rsid w:val="43CA332A"/>
    <w:rsid w:val="44184D69"/>
    <w:rsid w:val="446F5624"/>
    <w:rsid w:val="448E645A"/>
    <w:rsid w:val="44AA421F"/>
    <w:rsid w:val="450560EC"/>
    <w:rsid w:val="455A5197"/>
    <w:rsid w:val="458F3B1A"/>
    <w:rsid w:val="459819D4"/>
    <w:rsid w:val="45BB0894"/>
    <w:rsid w:val="45D24B39"/>
    <w:rsid w:val="461646BF"/>
    <w:rsid w:val="462F4D7A"/>
    <w:rsid w:val="4637780F"/>
    <w:rsid w:val="46825B96"/>
    <w:rsid w:val="468619FA"/>
    <w:rsid w:val="4689195C"/>
    <w:rsid w:val="46DA1906"/>
    <w:rsid w:val="46E877B6"/>
    <w:rsid w:val="47072ADF"/>
    <w:rsid w:val="47507FEA"/>
    <w:rsid w:val="47CD0723"/>
    <w:rsid w:val="4832372A"/>
    <w:rsid w:val="48E7151B"/>
    <w:rsid w:val="497A6C03"/>
    <w:rsid w:val="497E1951"/>
    <w:rsid w:val="49A012CA"/>
    <w:rsid w:val="4AB25BF3"/>
    <w:rsid w:val="4AC153D1"/>
    <w:rsid w:val="4ACE56E7"/>
    <w:rsid w:val="4B0572BF"/>
    <w:rsid w:val="4B0D2866"/>
    <w:rsid w:val="4B435352"/>
    <w:rsid w:val="4B4D76D2"/>
    <w:rsid w:val="4B86047F"/>
    <w:rsid w:val="4BC83D3C"/>
    <w:rsid w:val="4BE113DE"/>
    <w:rsid w:val="4BE70C9F"/>
    <w:rsid w:val="4C442402"/>
    <w:rsid w:val="4CA61634"/>
    <w:rsid w:val="4CA961D2"/>
    <w:rsid w:val="4CB678D6"/>
    <w:rsid w:val="4CBA4B06"/>
    <w:rsid w:val="4CFD7AF5"/>
    <w:rsid w:val="4D123CF2"/>
    <w:rsid w:val="4D3075B3"/>
    <w:rsid w:val="4D3740CD"/>
    <w:rsid w:val="4D4A32FA"/>
    <w:rsid w:val="4E302E7A"/>
    <w:rsid w:val="4E9D0081"/>
    <w:rsid w:val="4EF8064A"/>
    <w:rsid w:val="4F402876"/>
    <w:rsid w:val="4FB61A39"/>
    <w:rsid w:val="4FDE17AB"/>
    <w:rsid w:val="4FFD4BCF"/>
    <w:rsid w:val="501670D3"/>
    <w:rsid w:val="504A1910"/>
    <w:rsid w:val="507B1E29"/>
    <w:rsid w:val="50E3325F"/>
    <w:rsid w:val="5130111D"/>
    <w:rsid w:val="514070CB"/>
    <w:rsid w:val="517240FC"/>
    <w:rsid w:val="518A5153"/>
    <w:rsid w:val="51EA095B"/>
    <w:rsid w:val="52092FFE"/>
    <w:rsid w:val="52097EA3"/>
    <w:rsid w:val="524A1D0E"/>
    <w:rsid w:val="525521C2"/>
    <w:rsid w:val="52930A26"/>
    <w:rsid w:val="5313494E"/>
    <w:rsid w:val="53335E7F"/>
    <w:rsid w:val="536F612B"/>
    <w:rsid w:val="538A3B0C"/>
    <w:rsid w:val="53C25CB0"/>
    <w:rsid w:val="53F6332C"/>
    <w:rsid w:val="545D78A2"/>
    <w:rsid w:val="54C87412"/>
    <w:rsid w:val="55274F85"/>
    <w:rsid w:val="55A0016F"/>
    <w:rsid w:val="55D90275"/>
    <w:rsid w:val="56013162"/>
    <w:rsid w:val="560F078A"/>
    <w:rsid w:val="56A01BAA"/>
    <w:rsid w:val="56BF2541"/>
    <w:rsid w:val="56D3138F"/>
    <w:rsid w:val="56D91215"/>
    <w:rsid w:val="574B2965"/>
    <w:rsid w:val="574D2B6A"/>
    <w:rsid w:val="5753196B"/>
    <w:rsid w:val="576B2927"/>
    <w:rsid w:val="576E0053"/>
    <w:rsid w:val="57E06360"/>
    <w:rsid w:val="57F65D95"/>
    <w:rsid w:val="5804448E"/>
    <w:rsid w:val="580F4197"/>
    <w:rsid w:val="585C314A"/>
    <w:rsid w:val="585E5944"/>
    <w:rsid w:val="58B51802"/>
    <w:rsid w:val="59016884"/>
    <w:rsid w:val="59027A56"/>
    <w:rsid w:val="592F5142"/>
    <w:rsid w:val="59481AC4"/>
    <w:rsid w:val="595D05EE"/>
    <w:rsid w:val="59CF0A9D"/>
    <w:rsid w:val="59F65961"/>
    <w:rsid w:val="59FB654D"/>
    <w:rsid w:val="5A207B86"/>
    <w:rsid w:val="5A813DB9"/>
    <w:rsid w:val="5A913FA4"/>
    <w:rsid w:val="5A984EBE"/>
    <w:rsid w:val="5AA621C6"/>
    <w:rsid w:val="5ABD6205"/>
    <w:rsid w:val="5ADF16D3"/>
    <w:rsid w:val="5AED1D48"/>
    <w:rsid w:val="5AFE21F1"/>
    <w:rsid w:val="5B897E63"/>
    <w:rsid w:val="5B8F2ED9"/>
    <w:rsid w:val="5BEE3ADE"/>
    <w:rsid w:val="5C122925"/>
    <w:rsid w:val="5C207B33"/>
    <w:rsid w:val="5C7051B8"/>
    <w:rsid w:val="5CBB3D0E"/>
    <w:rsid w:val="5CC874D2"/>
    <w:rsid w:val="5D215216"/>
    <w:rsid w:val="5D317FA5"/>
    <w:rsid w:val="5D3D4880"/>
    <w:rsid w:val="5D510CFE"/>
    <w:rsid w:val="5D6A19ED"/>
    <w:rsid w:val="5DA110B8"/>
    <w:rsid w:val="5DB528D2"/>
    <w:rsid w:val="5DDB2D07"/>
    <w:rsid w:val="5DE32336"/>
    <w:rsid w:val="5E4151C7"/>
    <w:rsid w:val="5F065FAE"/>
    <w:rsid w:val="5F07419D"/>
    <w:rsid w:val="5F147196"/>
    <w:rsid w:val="5F1E7872"/>
    <w:rsid w:val="5F2C4CA8"/>
    <w:rsid w:val="5F2E751A"/>
    <w:rsid w:val="5F4851C3"/>
    <w:rsid w:val="5F8846D0"/>
    <w:rsid w:val="5FA46DEB"/>
    <w:rsid w:val="5FAF60BE"/>
    <w:rsid w:val="5FC27D10"/>
    <w:rsid w:val="61745166"/>
    <w:rsid w:val="6186628F"/>
    <w:rsid w:val="61B77340"/>
    <w:rsid w:val="61CD68D0"/>
    <w:rsid w:val="61E2279C"/>
    <w:rsid w:val="61EA04EF"/>
    <w:rsid w:val="622C6B72"/>
    <w:rsid w:val="622F6D22"/>
    <w:rsid w:val="62575637"/>
    <w:rsid w:val="626E180F"/>
    <w:rsid w:val="626F5D49"/>
    <w:rsid w:val="62831F0E"/>
    <w:rsid w:val="6373184D"/>
    <w:rsid w:val="639F1128"/>
    <w:rsid w:val="63A61E7A"/>
    <w:rsid w:val="63A81683"/>
    <w:rsid w:val="6416110D"/>
    <w:rsid w:val="642D02D6"/>
    <w:rsid w:val="64D769E5"/>
    <w:rsid w:val="65020182"/>
    <w:rsid w:val="656F318E"/>
    <w:rsid w:val="65C46B4F"/>
    <w:rsid w:val="65E44649"/>
    <w:rsid w:val="66250B7A"/>
    <w:rsid w:val="662D7DCA"/>
    <w:rsid w:val="663943CF"/>
    <w:rsid w:val="663D5411"/>
    <w:rsid w:val="66550C11"/>
    <w:rsid w:val="66AB0A37"/>
    <w:rsid w:val="670E7191"/>
    <w:rsid w:val="674E07D4"/>
    <w:rsid w:val="677302AB"/>
    <w:rsid w:val="67B84CED"/>
    <w:rsid w:val="68184E08"/>
    <w:rsid w:val="685B5B55"/>
    <w:rsid w:val="68A40908"/>
    <w:rsid w:val="68DA0368"/>
    <w:rsid w:val="6902556E"/>
    <w:rsid w:val="69280EC0"/>
    <w:rsid w:val="69D550CD"/>
    <w:rsid w:val="69D92947"/>
    <w:rsid w:val="69E662C9"/>
    <w:rsid w:val="69E940B6"/>
    <w:rsid w:val="6A016D0B"/>
    <w:rsid w:val="6A5D3A73"/>
    <w:rsid w:val="6B167892"/>
    <w:rsid w:val="6B400C03"/>
    <w:rsid w:val="6B8E28EF"/>
    <w:rsid w:val="6BE20878"/>
    <w:rsid w:val="6BE20961"/>
    <w:rsid w:val="6BE23F94"/>
    <w:rsid w:val="6C1347D7"/>
    <w:rsid w:val="6C35176E"/>
    <w:rsid w:val="6C485BAC"/>
    <w:rsid w:val="6CF70649"/>
    <w:rsid w:val="6D1D4B3B"/>
    <w:rsid w:val="6D2B19E5"/>
    <w:rsid w:val="6D3853F6"/>
    <w:rsid w:val="6D591543"/>
    <w:rsid w:val="6DA54C16"/>
    <w:rsid w:val="6F135A71"/>
    <w:rsid w:val="6F3A4A15"/>
    <w:rsid w:val="6FA265C2"/>
    <w:rsid w:val="6FE95093"/>
    <w:rsid w:val="70165014"/>
    <w:rsid w:val="70207B6E"/>
    <w:rsid w:val="70326850"/>
    <w:rsid w:val="70775261"/>
    <w:rsid w:val="70A27F31"/>
    <w:rsid w:val="70DA2C14"/>
    <w:rsid w:val="70FF5871"/>
    <w:rsid w:val="7113031F"/>
    <w:rsid w:val="713C1FAA"/>
    <w:rsid w:val="71677BC0"/>
    <w:rsid w:val="71964031"/>
    <w:rsid w:val="71A7479C"/>
    <w:rsid w:val="71C706DF"/>
    <w:rsid w:val="71D376AB"/>
    <w:rsid w:val="72437975"/>
    <w:rsid w:val="726F590E"/>
    <w:rsid w:val="72CC1E83"/>
    <w:rsid w:val="7303749F"/>
    <w:rsid w:val="73224CA8"/>
    <w:rsid w:val="7358254D"/>
    <w:rsid w:val="73924A98"/>
    <w:rsid w:val="73973924"/>
    <w:rsid w:val="7399198E"/>
    <w:rsid w:val="73A52CCB"/>
    <w:rsid w:val="73B23371"/>
    <w:rsid w:val="73B813CB"/>
    <w:rsid w:val="73D02A4A"/>
    <w:rsid w:val="73D677DD"/>
    <w:rsid w:val="73D70B56"/>
    <w:rsid w:val="73E97B4F"/>
    <w:rsid w:val="741B5617"/>
    <w:rsid w:val="742D3C1A"/>
    <w:rsid w:val="743D707D"/>
    <w:rsid w:val="74AA048A"/>
    <w:rsid w:val="74AE4F60"/>
    <w:rsid w:val="74C53312"/>
    <w:rsid w:val="74CF346D"/>
    <w:rsid w:val="7548147C"/>
    <w:rsid w:val="7549232D"/>
    <w:rsid w:val="755170BF"/>
    <w:rsid w:val="75665184"/>
    <w:rsid w:val="756B3685"/>
    <w:rsid w:val="75A02C3D"/>
    <w:rsid w:val="75BC62EF"/>
    <w:rsid w:val="75C31BDD"/>
    <w:rsid w:val="75EC3788"/>
    <w:rsid w:val="75F47C0F"/>
    <w:rsid w:val="76042E95"/>
    <w:rsid w:val="76112054"/>
    <w:rsid w:val="767E397C"/>
    <w:rsid w:val="76A80077"/>
    <w:rsid w:val="76CB4D43"/>
    <w:rsid w:val="76FB4FCD"/>
    <w:rsid w:val="771B7375"/>
    <w:rsid w:val="77211CB2"/>
    <w:rsid w:val="775E73C1"/>
    <w:rsid w:val="776740B3"/>
    <w:rsid w:val="778F480C"/>
    <w:rsid w:val="77D4405B"/>
    <w:rsid w:val="77DD37A2"/>
    <w:rsid w:val="78407669"/>
    <w:rsid w:val="78970D25"/>
    <w:rsid w:val="78E5641A"/>
    <w:rsid w:val="78EB4316"/>
    <w:rsid w:val="78F40384"/>
    <w:rsid w:val="78F43DFD"/>
    <w:rsid w:val="78F700D0"/>
    <w:rsid w:val="79463AC7"/>
    <w:rsid w:val="7A0636BB"/>
    <w:rsid w:val="7A225B16"/>
    <w:rsid w:val="7A3957D1"/>
    <w:rsid w:val="7A651C7D"/>
    <w:rsid w:val="7AE60548"/>
    <w:rsid w:val="7B3F627F"/>
    <w:rsid w:val="7B861030"/>
    <w:rsid w:val="7B92225E"/>
    <w:rsid w:val="7B931C78"/>
    <w:rsid w:val="7C426301"/>
    <w:rsid w:val="7C4C347A"/>
    <w:rsid w:val="7C553324"/>
    <w:rsid w:val="7D4F3C8E"/>
    <w:rsid w:val="7D586A7B"/>
    <w:rsid w:val="7DE760B3"/>
    <w:rsid w:val="7E370610"/>
    <w:rsid w:val="7E5A7DA1"/>
    <w:rsid w:val="7E6174E6"/>
    <w:rsid w:val="7E706F04"/>
    <w:rsid w:val="7EE477B9"/>
    <w:rsid w:val="7F620525"/>
    <w:rsid w:val="7FC21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spacing w:before="100" w:beforeAutospacing="1"/>
      <w:ind w:left="139"/>
      <w:jc w:val="left"/>
      <w:outlineLvl w:val="1"/>
    </w:pPr>
    <w:rPr>
      <w:rFonts w:ascii="宋体" w:hAnsi="宋体"/>
      <w:kern w:val="0"/>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ind w:firstLine="480"/>
    </w:pPr>
    <w:rPr>
      <w:rFonts w:ascii="宋体" w:hAnsi="宋体"/>
      <w:color w:val="000000"/>
      <w:sz w:val="24"/>
    </w:rPr>
  </w:style>
  <w:style w:type="paragraph" w:styleId="5">
    <w:name w:val="toa heading"/>
    <w:basedOn w:val="1"/>
    <w:next w:val="1"/>
    <w:unhideWhenUsed/>
    <w:qFormat/>
    <w:uiPriority w:val="99"/>
    <w:pPr>
      <w:widowControl/>
      <w:spacing w:before="120" w:after="100" w:afterAutospacing="1"/>
    </w:pPr>
    <w:rPr>
      <w:rFonts w:ascii="Arial" w:hAnsi="Arial" w:cs="Arial"/>
      <w:sz w:val="24"/>
      <w:lang w:bidi="gu-IN"/>
    </w:rPr>
  </w:style>
  <w:style w:type="paragraph" w:styleId="6">
    <w:name w:val="annotation text"/>
    <w:basedOn w:val="1"/>
    <w:link w:val="16"/>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szCs w:val="18"/>
    </w:rPr>
  </w:style>
  <w:style w:type="paragraph" w:styleId="10">
    <w:name w:val="annotation subject"/>
    <w:basedOn w:val="6"/>
    <w:next w:val="6"/>
    <w:link w:val="17"/>
    <w:qFormat/>
    <w:uiPriority w:val="0"/>
    <w:rPr>
      <w:b/>
      <w:bCs/>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styleId="15">
    <w:name w:val="footnote reference"/>
    <w:qFormat/>
    <w:uiPriority w:val="0"/>
    <w:rPr>
      <w:vertAlign w:val="superscript"/>
    </w:rPr>
  </w:style>
  <w:style w:type="character" w:customStyle="1" w:styleId="16">
    <w:name w:val="批注文字 字符"/>
    <w:basedOn w:val="12"/>
    <w:link w:val="6"/>
    <w:qFormat/>
    <w:uiPriority w:val="0"/>
    <w:rPr>
      <w:rFonts w:ascii="Calibri" w:hAnsi="Calibri"/>
      <w:kern w:val="2"/>
      <w:sz w:val="21"/>
      <w:szCs w:val="24"/>
    </w:rPr>
  </w:style>
  <w:style w:type="character" w:customStyle="1" w:styleId="17">
    <w:name w:val="批注主题 字符"/>
    <w:basedOn w:val="16"/>
    <w:link w:val="10"/>
    <w:qFormat/>
    <w:uiPriority w:val="0"/>
    <w:rPr>
      <w:rFonts w:ascii="Calibri" w:hAnsi="Calibri"/>
      <w:b/>
      <w:bCs/>
      <w:kern w:val="2"/>
      <w:sz w:val="21"/>
      <w:szCs w:val="24"/>
    </w:rPr>
  </w:style>
  <w:style w:type="paragraph" w:customStyle="1" w:styleId="18">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3071</Words>
  <Characters>3498</Characters>
  <Lines>25</Lines>
  <Paragraphs>7</Paragraphs>
  <TotalTime>22</TotalTime>
  <ScaleCrop>false</ScaleCrop>
  <LinksUpToDate>false</LinksUpToDate>
  <CharactersWithSpaces>3507</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2022-10-09T03:17:00Z</dcterms:created>
  <dc:creator>Administrator</dc:creator>
  <cp:lastModifiedBy>工改组</cp:lastModifiedBy>
  <cp:lastPrinted>2025-01-02T01:50:00Z</cp:lastPrinted>
  <dcterms:modified xsi:type="dcterms:W3CDTF">2025-08-06T08:57:51Z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3A4CE973B0774465B5ADAE4D0C2B555E_13</vt:lpwstr>
  </property>
  <property fmtid="{D5CDD505-2E9C-101B-9397-08002B2CF9AE}" pid="4" name="KSOTemplateDocerSaveRecord">
    <vt:lpwstr>eyJoZGlkIjoiMzEwNTM5NzYwMDRjMzkwZTVkZjY2ODkwMGIxNGU0OTUiLCJ1c2VySWQiOiIxOTczNjA5NzUifQ==</vt:lpwstr>
  </property>
</Properties>
</file>