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牙周治疗仪</w:t>
      </w:r>
      <w:r>
        <w:rPr>
          <w:rFonts w:hint="eastAsia" w:ascii="黑体" w:hAnsi="黑体" w:eastAsia="黑体" w:cs="黑体"/>
          <w:b/>
          <w:bCs w:val="0"/>
          <w:color w:val="auto"/>
          <w:highlight w:val="none"/>
          <w:lang w:eastAsia="zh-CN"/>
        </w:rPr>
        <w:t>采购项目</w:t>
      </w:r>
      <w:bookmarkEnd w:id="0"/>
    </w:p>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牙周治疗仪</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牙周治疗仪</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30,000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018"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077"/>
        <w:gridCol w:w="1208"/>
        <w:gridCol w:w="1204"/>
        <w:gridCol w:w="1258"/>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009"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8" w:type="pct"/>
            <w:noWrap w:val="0"/>
            <w:vAlign w:val="center"/>
          </w:tcPr>
          <w:p w14:paraId="139C05F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61"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758"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792"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009"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牙周治疗仪</w:t>
            </w:r>
          </w:p>
        </w:tc>
        <w:tc>
          <w:tcPr>
            <w:tcW w:w="678" w:type="pct"/>
            <w:noWrap w:val="0"/>
            <w:vAlign w:val="center"/>
          </w:tcPr>
          <w:p w14:paraId="1948AE8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761"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30,000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58"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30,000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92"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1.包含超声系统和喷砂系统，用于口腔治疗中牙周治疗，清洁龈上龈下、维护种植体等。</w:t>
      </w:r>
    </w:p>
    <w:p w14:paraId="44451B0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41984218">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★1.超声系统和喷砂系统一体机。</w:t>
      </w:r>
    </w:p>
    <w:p w14:paraId="6D7AACA9">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2.尖端最大偏移量≤200um。</w:t>
      </w:r>
    </w:p>
    <w:p w14:paraId="053484E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3.尖端输出最低振动频率（kHz）：≤25。</w:t>
      </w:r>
    </w:p>
    <w:p w14:paraId="748D1B09">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4.尖端输出最高振动频率（kHz）：≥31。</w:t>
      </w:r>
    </w:p>
    <w:p w14:paraId="0C368ADA">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5.尖端输出最大半偏移力（N）：≤10。</w:t>
      </w:r>
    </w:p>
    <w:p w14:paraId="47C7B0A8">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6.尖端输出功率最低≤3W，最高≥20W。</w:t>
      </w:r>
    </w:p>
    <w:p w14:paraId="0C485789">
      <w:pPr>
        <w:keepNext w:val="0"/>
        <w:keepLines w:val="0"/>
        <w:pageBreakBefore w:val="0"/>
        <w:numPr>
          <w:ilvl w:val="0"/>
          <w:numId w:val="0"/>
        </w:numPr>
        <w:kinsoku/>
        <w:wordWrap/>
        <w:overflowPunct/>
        <w:topLinePunct w:val="0"/>
        <w:bidi w:val="0"/>
        <w:spacing w:line="360" w:lineRule="exact"/>
        <w:ind w:leftChars="2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7.超声手柄、喷砂手柄各1把，均带LED灯，可拆卸高温高压消毒。</w:t>
      </w:r>
      <w:bookmarkStart w:id="1" w:name="_GoBack"/>
      <w:bookmarkEnd w:id="1"/>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6FEC976C">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合同签订后30天内交货，完成安装测试、运行验收合格后第3个月支付合同金额的100%。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.1提供的设备生产日期在合同签订日期前12个月以内。</w:t>
      </w:r>
      <w:r>
        <w:rPr>
          <w:rFonts w:hint="eastAsia" w:ascii="宋体" w:hAnsi="宋体" w:cs="Times New Roman"/>
          <w:bCs/>
          <w:color w:val="auto"/>
          <w:szCs w:val="21"/>
          <w:highlight w:val="none"/>
          <w:lang w:val="en-US" w:eastAsia="zh-CN"/>
        </w:rPr>
        <w:t>保证所供设备是原厂的全新设备，均为正货，是参选的型号。</w:t>
      </w:r>
    </w:p>
    <w:p w14:paraId="54DC43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61283E8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3B5BAE0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F8082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A7FD4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4.整机</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09ADFE5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5E4E883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0831F53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w:t>
      </w:r>
      <w:r>
        <w:rPr>
          <w:rFonts w:hint="eastAsia" w:ascii="宋体" w:hAnsi="宋体" w:eastAsia="宋体" w:cs="宋体"/>
          <w:i w:val="0"/>
          <w:iCs w:val="0"/>
          <w:color w:val="auto"/>
          <w:kern w:val="0"/>
          <w:sz w:val="21"/>
          <w:szCs w:val="21"/>
          <w:highlight w:val="none"/>
          <w:u w:val="none"/>
          <w:lang w:val="en-US" w:eastAsia="zh-CN" w:bidi="ar"/>
        </w:rPr>
        <w:t>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43092F5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3A19A40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059789F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41F6F42B">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ADC7378">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03C80D7B">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1C4DB2A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0F9077">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2DEF0DE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14D5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D84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87C8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7E3DDA6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68B568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FBE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ECEC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98A3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7D364">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注：本项满分为50分，以采购需求书中要求提供（如有）的证明材料作为评审依据，未按要求提供不得分。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18E709B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0A1D6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3EF80F">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质量保证承诺方案(8分)</w:t>
            </w:r>
          </w:p>
          <w:p w14:paraId="7995120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1F59805">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根据供应商质量保证措施、针对性、可行性情况进行</w:t>
            </w:r>
            <w:r>
              <w:rPr>
                <w:rFonts w:hint="eastAsia" w:asciiTheme="minorEastAsia" w:hAnsiTheme="minorEastAsia" w:cstheme="minorEastAsia"/>
                <w:sz w:val="21"/>
                <w:szCs w:val="21"/>
                <w:highlight w:val="none"/>
                <w:lang w:val="en-US" w:eastAsia="zh-CN"/>
              </w:rPr>
              <w:t>评审</w:t>
            </w:r>
            <w:r>
              <w:rPr>
                <w:rFonts w:hint="eastAsia" w:asciiTheme="minorEastAsia" w:hAnsiTheme="minorEastAsia" w:eastAsiaTheme="minorEastAsia" w:cstheme="minorEastAsia"/>
                <w:sz w:val="21"/>
                <w:szCs w:val="21"/>
                <w:highlight w:val="none"/>
                <w:lang w:val="en-US" w:eastAsia="zh-CN"/>
              </w:rPr>
              <w:t xml:space="preserve">： </w:t>
            </w:r>
          </w:p>
          <w:p w14:paraId="4EC4DAA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质量保证措施详细具体、针对性强、合理可行，得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 xml:space="preserve">分； </w:t>
            </w:r>
          </w:p>
          <w:p w14:paraId="5068448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质量保证措施较详细具体、针对性较强、较合理可行，得</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分；</w:t>
            </w:r>
          </w:p>
          <w:p w14:paraId="6B60FCF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质量保证措施基本完整、有一定针对性、可行性一般，得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 xml:space="preserve">分； </w:t>
            </w:r>
          </w:p>
          <w:p w14:paraId="78984D10">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质量保证措施不完整、缺乏针对性、可行性差，得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w:t>
            </w:r>
          </w:p>
          <w:p w14:paraId="557C1803">
            <w:pPr>
              <w:pStyle w:val="25"/>
              <w:numPr>
                <w:ilvl w:val="0"/>
                <w:numId w:val="0"/>
              </w:numPr>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r w14:paraId="1EF4239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7177B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EF9B908">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0DEB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F071F88">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 xml:space="preserve">分； </w:t>
            </w:r>
          </w:p>
          <w:p w14:paraId="5958906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6C674721">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质量保证期或承诺提供的设备生产日期满足比选文件要求，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710A1AFF">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eastAsiaTheme="minorEastAsia" w:cstheme="minorEastAsia"/>
                <w:sz w:val="21"/>
                <w:szCs w:val="21"/>
                <w:highlight w:val="none"/>
                <w:lang w:val="en-US" w:eastAsia="zh-CN"/>
              </w:rPr>
              <w:t>承诺提供的设备生产日期不能满足比选文件要求，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7043F542">
      <w:pPr>
        <w:keepNext w:val="0"/>
        <w:keepLines w:val="0"/>
        <w:pageBreakBefore w:val="0"/>
        <w:tabs>
          <w:tab w:val="left" w:pos="567"/>
          <w:tab w:val="left" w:pos="1133"/>
        </w:tabs>
        <w:kinsoku/>
        <w:wordWrap/>
        <w:overflowPunct/>
        <w:topLinePunct w:val="0"/>
        <w:autoSpaceDE w:val="0"/>
        <w:autoSpaceDN w:val="0"/>
        <w:bidi w:val="0"/>
        <w:spacing w:line="360" w:lineRule="exact"/>
        <w:ind w:firstLine="8011" w:firstLineChars="3800"/>
        <w:jc w:val="both"/>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20A5FE5"/>
    <w:rsid w:val="02AD51D0"/>
    <w:rsid w:val="03192A63"/>
    <w:rsid w:val="04E27430"/>
    <w:rsid w:val="05E30E00"/>
    <w:rsid w:val="06CB0177"/>
    <w:rsid w:val="074F28CD"/>
    <w:rsid w:val="075A0C9C"/>
    <w:rsid w:val="075D0E74"/>
    <w:rsid w:val="088C3CD7"/>
    <w:rsid w:val="08B42162"/>
    <w:rsid w:val="08D860D6"/>
    <w:rsid w:val="09D81B4F"/>
    <w:rsid w:val="0A552405"/>
    <w:rsid w:val="0AAA604C"/>
    <w:rsid w:val="0B105E8F"/>
    <w:rsid w:val="0B5A71A0"/>
    <w:rsid w:val="0B816D4C"/>
    <w:rsid w:val="0D303E96"/>
    <w:rsid w:val="0D5356A5"/>
    <w:rsid w:val="0F411E6B"/>
    <w:rsid w:val="10B10D98"/>
    <w:rsid w:val="10FD2C30"/>
    <w:rsid w:val="11F2677F"/>
    <w:rsid w:val="11FD4E35"/>
    <w:rsid w:val="120A5047"/>
    <w:rsid w:val="12810D5F"/>
    <w:rsid w:val="16AF68E3"/>
    <w:rsid w:val="17AD667F"/>
    <w:rsid w:val="19C23FFF"/>
    <w:rsid w:val="1ACB09B1"/>
    <w:rsid w:val="1B902BD0"/>
    <w:rsid w:val="1D1A254A"/>
    <w:rsid w:val="1DAB3FD6"/>
    <w:rsid w:val="1E431A19"/>
    <w:rsid w:val="21316930"/>
    <w:rsid w:val="219C3D3D"/>
    <w:rsid w:val="21E441D2"/>
    <w:rsid w:val="241A2687"/>
    <w:rsid w:val="253202CD"/>
    <w:rsid w:val="25AF4BCF"/>
    <w:rsid w:val="29B10698"/>
    <w:rsid w:val="2C4E34C1"/>
    <w:rsid w:val="2CB27DEF"/>
    <w:rsid w:val="2F942FD1"/>
    <w:rsid w:val="32301FF4"/>
    <w:rsid w:val="32862630"/>
    <w:rsid w:val="33AD6EE0"/>
    <w:rsid w:val="34D81478"/>
    <w:rsid w:val="37823A9E"/>
    <w:rsid w:val="39E61657"/>
    <w:rsid w:val="3A822C5D"/>
    <w:rsid w:val="3AEB754D"/>
    <w:rsid w:val="3C11515E"/>
    <w:rsid w:val="3C545C86"/>
    <w:rsid w:val="3D064E51"/>
    <w:rsid w:val="410F24F8"/>
    <w:rsid w:val="41B868E9"/>
    <w:rsid w:val="47977F8E"/>
    <w:rsid w:val="488A14A0"/>
    <w:rsid w:val="49FB0CA3"/>
    <w:rsid w:val="4A612ED3"/>
    <w:rsid w:val="4AE91161"/>
    <w:rsid w:val="4C9854C5"/>
    <w:rsid w:val="4E534068"/>
    <w:rsid w:val="4ED176DC"/>
    <w:rsid w:val="4F183C27"/>
    <w:rsid w:val="4FA2515B"/>
    <w:rsid w:val="52D05187"/>
    <w:rsid w:val="53A7297E"/>
    <w:rsid w:val="53BE1870"/>
    <w:rsid w:val="54FD72FC"/>
    <w:rsid w:val="557E41CD"/>
    <w:rsid w:val="55DF5D85"/>
    <w:rsid w:val="57A26C6F"/>
    <w:rsid w:val="57A47613"/>
    <w:rsid w:val="5966506E"/>
    <w:rsid w:val="59761BA9"/>
    <w:rsid w:val="5AF56DED"/>
    <w:rsid w:val="5B8247AD"/>
    <w:rsid w:val="5BCA515F"/>
    <w:rsid w:val="5DDA7107"/>
    <w:rsid w:val="5E4647B1"/>
    <w:rsid w:val="5FA04E1F"/>
    <w:rsid w:val="5FC6594D"/>
    <w:rsid w:val="60766E58"/>
    <w:rsid w:val="60802BED"/>
    <w:rsid w:val="61560A3B"/>
    <w:rsid w:val="62503D99"/>
    <w:rsid w:val="631B1778"/>
    <w:rsid w:val="642705C1"/>
    <w:rsid w:val="657038D9"/>
    <w:rsid w:val="66895538"/>
    <w:rsid w:val="676D3727"/>
    <w:rsid w:val="69D1193E"/>
    <w:rsid w:val="6A256A3F"/>
    <w:rsid w:val="6AD80A32"/>
    <w:rsid w:val="6E11703B"/>
    <w:rsid w:val="6F0D1F62"/>
    <w:rsid w:val="70C54A6B"/>
    <w:rsid w:val="71B92164"/>
    <w:rsid w:val="721D6DAF"/>
    <w:rsid w:val="728C5C5D"/>
    <w:rsid w:val="729B2CA6"/>
    <w:rsid w:val="73314E5B"/>
    <w:rsid w:val="74C9421C"/>
    <w:rsid w:val="78C30A2E"/>
    <w:rsid w:val="795559D4"/>
    <w:rsid w:val="79B128AE"/>
    <w:rsid w:val="7C69286B"/>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4617</Words>
  <Characters>4843</Characters>
  <Lines>0</Lines>
  <Paragraphs>0</Paragraphs>
  <TotalTime>5</TotalTime>
  <ScaleCrop>false</ScaleCrop>
  <LinksUpToDate>false</LinksUpToDate>
  <CharactersWithSpaces>4877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2025-08-06T02:01:36Z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