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spacing w:val="-6"/>
          <w:kern w:val="0"/>
          <w:sz w:val="44"/>
          <w:szCs w:val="44"/>
          <w:highlight w:val="none"/>
          <w:u w:val="none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中山市黄圃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</w:rPr>
        <w:t>镇</w:t>
      </w:r>
      <w:bookmarkStart w:id="1" w:name="OLE_LINK1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鳌山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村</w:t>
      </w:r>
      <w:bookmarkStart w:id="2" w:name="OLE_LINK3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股份合作经济</w:t>
      </w:r>
      <w:bookmarkEnd w:id="2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联合社</w:t>
      </w:r>
      <w:bookmarkEnd w:id="1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、</w:t>
      </w:r>
      <w:bookmarkStart w:id="3" w:name="OLE_LINK4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中山市黄圃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鳌山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村第二十三股份合作经济社</w:t>
      </w:r>
      <w:bookmarkEnd w:id="0"/>
      <w:bookmarkEnd w:id="3"/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</w:rPr>
        <w:t>“工改工”宗地项目“三旧”改造方案</w:t>
      </w:r>
    </w:p>
    <w:p w14:paraId="71E3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</w:p>
    <w:p w14:paraId="0564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据中山市城市更新（“三旧”改造）专项规划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村庄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黄圃镇政府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拟对位于</w:t>
      </w:r>
      <w:bookmarkStart w:id="4" w:name="OLE_LINK2"/>
      <w:bookmarkStart w:id="5" w:name="OLE_LINK6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</w:t>
      </w:r>
      <w:bookmarkEnd w:id="4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、中山市黄圃镇鳌山村第二十三股份合作经济社</w:t>
      </w:r>
      <w:bookmarkEnd w:id="5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旧厂房用地进行改造，由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中山市黄圃镇鳌山村股份合作经济联合社、中山市黄圃镇鳌山村第二十三股份合作经济社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作为改造主体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自行改造，采取全面改造的改造方式。改造方案如下：</w:t>
      </w:r>
    </w:p>
    <w:p w14:paraId="35EC4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一、改造地块基本情况</w:t>
      </w:r>
    </w:p>
    <w:p w14:paraId="6C7D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  <w:t>（一）总体情况</w:t>
      </w:r>
    </w:p>
    <w:p w14:paraId="57AAC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位于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黄圃镇观仙北路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工业厂房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，南至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农田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观仙北路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东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农田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面积</w:t>
      </w:r>
      <w:bookmarkStart w:id="6" w:name="OLE_LINK19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0.5224公顷（</w:t>
      </w:r>
      <w:bookmarkStart w:id="7" w:name="OLE_LINK7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5223.68</w:t>
      </w:r>
      <w:bookmarkEnd w:id="7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</w:t>
      </w:r>
      <w:bookmarkStart w:id="8" w:name="OLE_LINK9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7.84</w:t>
      </w:r>
      <w:bookmarkEnd w:id="8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亩）</w:t>
      </w:r>
      <w:bookmarkEnd w:id="6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5F09B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  <w:t>（二）标图入库情况</w:t>
      </w:r>
    </w:p>
    <w:p w14:paraId="58D8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改造地块正在办理标图入库，拟标入库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5223.68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，本次改造地块位于该图斑内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03995F35"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  <w:t>（三）权属情况</w:t>
      </w:r>
    </w:p>
    <w:p w14:paraId="6CC4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属集体用地，</w:t>
      </w:r>
      <w:r>
        <w:rPr>
          <w:rFonts w:hint="eastAsia" w:ascii="仿宋_GB2312" w:hAnsi="仿宋_GB2312" w:eastAsia="仿宋_GB2312" w:cs="仿宋_GB2312"/>
          <w:spacing w:val="-6"/>
          <w:sz w:val="32"/>
          <w:highlight w:val="none"/>
          <w:lang w:eastAsia="zh-CN"/>
        </w:rPr>
        <w:t>已确权登记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土地所有权证号为粤(2025)中山市不动产权第0331455号、粤(2025)中山市不动产权第0331456号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，权利人为</w:t>
      </w:r>
      <w:bookmarkStart w:id="9" w:name="OLE_LINK8"/>
      <w:bookmarkStart w:id="10" w:name="OLE_LINK12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</w:t>
      </w:r>
      <w:bookmarkEnd w:id="9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、中山市黄圃镇鳌山村第二十三股份合作经济社</w:t>
      </w:r>
      <w:bookmarkEnd w:id="1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农民集体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月开始使用。</w:t>
      </w:r>
    </w:p>
    <w:p w14:paraId="39CD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  <w:t>（四）土地利用现状情况</w:t>
      </w:r>
    </w:p>
    <w:p w14:paraId="1A834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改造地块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未完善建设用地手续，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在“二调”及最新土地利用现状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为建设用地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不涉及纳入改造范围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265C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改造地块现用途为工业，有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自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月开始使用，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未办理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规划报建手续，现有建筑面积</w:t>
      </w:r>
      <w:bookmarkStart w:id="11" w:name="OLE_LINK1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3486.91</w:t>
      </w:r>
      <w:bookmarkEnd w:id="11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平方米，现状容积率0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.67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工业厂房和配套用房使用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。目前该地块尚未拆除建筑，改造前年产值为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50万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约6.38万元/亩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，年税收为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万元。</w:t>
      </w:r>
    </w:p>
    <w:p w14:paraId="5264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地块涉及违法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0.5224公顷（5223.68平方米，折合约7.84亩）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正在开展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违法用地处罚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。</w:t>
      </w:r>
    </w:p>
    <w:p w14:paraId="165B1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改造地块不涉及到闲置、抵押、历史文化资源要素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、森林资源以及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 w14:paraId="447C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1"/>
        <w:rPr>
          <w:rFonts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  <w:highlight w:val="none"/>
          <w:u w:val="none"/>
        </w:rPr>
        <w:t>（五）规划情况</w:t>
      </w:r>
    </w:p>
    <w:p w14:paraId="6776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改造地块符合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国土空间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总体规划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村庄规划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已纳入《中山市城市更新（“三旧”改造）专项规划（2020-2035）》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。在</w:t>
      </w:r>
      <w:bookmarkStart w:id="12" w:name="OLE_LINK16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《中山市13个行政村村庄规划优化提升项目——东凤镇东罟步村、西罟步村、小榄镇太平村、坦洲镇群联村、板芙镇四联村、黄圃镇鳌山村、村庄规划（2024-2035）》（中府函〔2024〕78号）</w:t>
      </w:r>
      <w:bookmarkEnd w:id="12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中，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类工业用地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0.5224公顷（</w:t>
      </w:r>
      <w:bookmarkStart w:id="13" w:name="OLE_LINK2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5223.68</w:t>
      </w:r>
      <w:bookmarkEnd w:id="13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平方米，折合约7.84亩）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，规划容积率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1-1.5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，建筑密度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，绿地率≥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20%，生产性建筑高度</w:t>
      </w:r>
      <w:bookmarkStart w:id="14" w:name="OLE_LINK11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≤</w:t>
      </w:r>
      <w:bookmarkEnd w:id="14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24米（特殊工艺除外）。</w:t>
      </w:r>
    </w:p>
    <w:p w14:paraId="26FF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“三区三线”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城镇开发边界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外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，不涉及永久基本农田、生态保护红线等管控要求。</w:t>
      </w:r>
    </w:p>
    <w:p w14:paraId="6F2CFF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改造意愿情况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及补偿安置情况</w:t>
      </w:r>
    </w:p>
    <w:p w14:paraId="090507F2">
      <w:pPr>
        <w:spacing w:line="240" w:lineRule="auto"/>
        <w:ind w:firstLine="616" w:firstLineChars="200"/>
        <w:outlineLvl w:val="1"/>
        <w:rPr>
          <w:rFonts w:ascii="楷体" w:hAnsi="楷体" w:eastAsia="楷体" w:cs="楷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highlight w:val="none"/>
          <w:u w:val="none"/>
        </w:rPr>
        <w:t>（一）改造意愿情况</w:t>
      </w:r>
    </w:p>
    <w:p w14:paraId="4F7A8502">
      <w:pPr>
        <w:pStyle w:val="5"/>
        <w:spacing w:before="0" w:line="240" w:lineRule="auto"/>
        <w:ind w:left="111" w:right="111" w:firstLine="64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改造范围涉及</w:t>
      </w:r>
      <w:bookmarkStart w:id="15" w:name="OLE_LINK13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中山市黄圃镇鳌山村股份合作经济联合社、中山市黄圃镇鳌山村第二十三股份合作经济社</w:t>
      </w:r>
      <w:bookmarkEnd w:id="15"/>
      <w:r>
        <w:rPr>
          <w:rFonts w:hint="eastAsia" w:ascii="Times New Roman" w:hAnsi="Times New Roman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个权利主体，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已按照法律法规，就改造范围、土地现状、改造主体及拟改造情况等事项征询涉及所有权利人改造意愿，同意将涉及土地、房屋纳入改造范围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A879440">
      <w:pPr>
        <w:numPr>
          <w:ilvl w:val="0"/>
          <w:numId w:val="2"/>
        </w:numPr>
        <w:spacing w:line="240" w:lineRule="auto"/>
        <w:ind w:firstLine="616" w:firstLineChars="200"/>
        <w:outlineLvl w:val="1"/>
        <w:rPr>
          <w:rFonts w:ascii="楷体" w:hAnsi="楷体" w:eastAsia="楷体" w:cs="楷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color w:val="auto"/>
          <w:spacing w:val="-6"/>
          <w:kern w:val="0"/>
          <w:sz w:val="32"/>
          <w:szCs w:val="32"/>
          <w:highlight w:val="none"/>
          <w:u w:val="none"/>
        </w:rPr>
        <w:t>补偿安置情况</w:t>
      </w:r>
    </w:p>
    <w:p w14:paraId="4EA76D60">
      <w:pPr>
        <w:widowControl/>
        <w:spacing w:line="240" w:lineRule="auto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不涉及征收补偿安置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。</w:t>
      </w:r>
    </w:p>
    <w:p w14:paraId="5A6C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三、改造主体及拟改造情况</w:t>
      </w:r>
    </w:p>
    <w:p w14:paraId="34C1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以及村庄规划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土地权利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人</w:t>
      </w:r>
      <w:bookmarkStart w:id="16" w:name="OLE_LINK18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中山市黄圃镇鳌山村股份合作经济联合社、中山市黄圃镇鳌山村第二十三股份合作经济社</w:t>
      </w:r>
      <w:bookmarkEnd w:id="16"/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作为改造主体，实施全面改造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工业生产，作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农副食品加工业、食品制造业、酒</w:t>
      </w:r>
      <w:r>
        <w:rPr>
          <w:rFonts w:hint="eastAsia" w:ascii="Times New Roman" w:hAnsi="Times New Roman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饮料和精制茶制造业以及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智能家电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研发及生产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，在符合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村庄规划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的基础上，容积率不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小</w:t>
      </w:r>
      <w:bookmarkStart w:id="17" w:name="OLE_LINK14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于</w:t>
      </w:r>
      <w:bookmarkEnd w:id="17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，总建筑面积不小于</w:t>
      </w:r>
      <w:bookmarkStart w:id="18" w:name="OLE_LINK15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7835.52</w:t>
      </w:r>
      <w:bookmarkEnd w:id="18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平方米，新建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计容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不小于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7835.52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平方米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，不保留原有建筑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。</w:t>
      </w:r>
    </w:p>
    <w:p w14:paraId="29FA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相关情况符合《产业结构调整指导目录》《中山市“三线一单”生态环境分区管控方案》《中山市涉挥发性有机物项目环保管理规定》相关规定。改造后预计年产值将达4704万元（约600万元/亩），年税收将达156.8万元（约20万元/亩）。项目不涉及分割销售。</w:t>
      </w:r>
    </w:p>
    <w:p w14:paraId="071AE4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需办理的用地手续</w:t>
      </w:r>
    </w:p>
    <w:p w14:paraId="3468D26E">
      <w:pPr>
        <w:numPr>
          <w:ilvl w:val="0"/>
          <w:numId w:val="4"/>
        </w:numPr>
        <w:spacing w:line="574" w:lineRule="exact"/>
        <w:ind w:firstLine="616" w:firstLineChars="200"/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集体土地完善转用</w:t>
      </w: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。</w:t>
      </w:r>
    </w:p>
    <w:p w14:paraId="68224A37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改造范围内</w:t>
      </w:r>
      <w:bookmarkStart w:id="19" w:name="OLE_LINK17"/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0.5224公顷（5223.68平方米，折合约7.84亩）</w:t>
      </w:r>
      <w:bookmarkEnd w:id="19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办理集体土地完善转用手续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根据《广东省旧城镇旧厂房旧村庄改造管理办法》（粤府令第279号）《广东省“三旧”改造标图入库和用地报批工作指引（2021年版）（粤自然资函）〔2021〕935号》相关规定，改造地块符合办理集体土地完善转用手续的要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（具体土地面积以届时测量图纸为准）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。</w:t>
      </w:r>
    </w:p>
    <w:p w14:paraId="7CCBB9E1">
      <w:pPr>
        <w:numPr>
          <w:ilvl w:val="0"/>
          <w:numId w:val="0"/>
        </w:num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楷体" w:cs="Times New Roman"/>
          <w:spacing w:val="-6"/>
          <w:kern w:val="0"/>
          <w:sz w:val="32"/>
          <w:szCs w:val="32"/>
          <w:highlight w:val="none"/>
          <w:lang w:val="en-US" w:eastAsia="zh-CN"/>
        </w:rPr>
        <w:t>（二）土地供应</w:t>
      </w:r>
    </w:p>
    <w:p w14:paraId="27918132">
      <w:pPr>
        <w:spacing w:line="574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上述用地完善转用手续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后，依据《中山市13个行政村村庄规划优化提升项目——东凤镇东罟步村、西罟步村、小榄镇太平村、坦洲镇群联村、板芙镇四联村、黄圃镇鳌山村、村庄规划（2024-2035）》（中府函〔2024〕78号），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0.5224公顷（5223.68平方米，折合约7.84亩）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类工业用地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采取集体自用方式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供地给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中山市黄圃镇鳌山村股份合作经济联合社、中山市黄圃镇鳌山村第二十三股份合作经济社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（具体土地面积以届时测量图纸为准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E866B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资金筹措</w:t>
      </w:r>
    </w:p>
    <w:p w14:paraId="24C58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92"/>
        <w:textAlignment w:val="auto"/>
        <w:outlineLvl w:val="9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规划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类工业用地由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改造主体拟投入资金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3136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万元，其中自有资金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1136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</w:rPr>
        <w:t>（最终以实际投入资金为准）。</w:t>
      </w:r>
    </w:p>
    <w:p w14:paraId="05F081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highlight w:val="none"/>
          <w:u w:val="none"/>
        </w:rPr>
        <w:t>开发时序</w:t>
      </w:r>
    </w:p>
    <w:p w14:paraId="4D656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项目开发周期为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2.5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年，自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市政府批准供地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365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日内开工，自开工之日起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912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内竣工。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具体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以实际审批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为准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）</w:t>
      </w:r>
    </w:p>
    <w:p w14:paraId="58B0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16" w:firstLineChars="200"/>
        <w:textAlignment w:val="auto"/>
        <w:outlineLvl w:val="0"/>
        <w:rPr>
          <w:rFonts w:ascii="黑体" w:hAnsi="黑体" w:eastAsia="黑体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eastAsia" w:ascii="黑体" w:hAnsi="黑体" w:eastAsia="黑体"/>
          <w:color w:val="auto"/>
          <w:spacing w:val="-6"/>
          <w:kern w:val="0"/>
          <w:sz w:val="32"/>
          <w:szCs w:val="32"/>
          <w:highlight w:val="none"/>
          <w:u w:val="none"/>
        </w:rPr>
        <w:t>、实施监管</w:t>
      </w:r>
    </w:p>
    <w:p w14:paraId="0DD21CA8">
      <w:pPr>
        <w:spacing w:line="240" w:lineRule="auto"/>
        <w:ind w:firstLine="616" w:firstLineChars="200"/>
        <w:rPr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  <w:bookmarkStart w:id="20" w:name="_GoBack"/>
      <w:bookmarkEnd w:id="2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6E90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0719F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0719F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FB5CB"/>
    <w:multiLevelType w:val="singleLevel"/>
    <w:tmpl w:val="A1BFB5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CA85F6"/>
    <w:multiLevelType w:val="singleLevel"/>
    <w:tmpl w:val="61CA85F6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172A27"/>
    <w:rsid w:val="002361F4"/>
    <w:rsid w:val="0029778B"/>
    <w:rsid w:val="002A5B0B"/>
    <w:rsid w:val="00320EDC"/>
    <w:rsid w:val="006B0659"/>
    <w:rsid w:val="00E63C40"/>
    <w:rsid w:val="014153E1"/>
    <w:rsid w:val="018839D5"/>
    <w:rsid w:val="01A72FDB"/>
    <w:rsid w:val="01A7418E"/>
    <w:rsid w:val="02C9625F"/>
    <w:rsid w:val="02DF3C74"/>
    <w:rsid w:val="03FF4343"/>
    <w:rsid w:val="04B44530"/>
    <w:rsid w:val="05074AE9"/>
    <w:rsid w:val="052A2F9C"/>
    <w:rsid w:val="05323542"/>
    <w:rsid w:val="055A6B65"/>
    <w:rsid w:val="05D62509"/>
    <w:rsid w:val="05F6627E"/>
    <w:rsid w:val="06355F8B"/>
    <w:rsid w:val="06376388"/>
    <w:rsid w:val="063C4668"/>
    <w:rsid w:val="06496A8E"/>
    <w:rsid w:val="068F1BE9"/>
    <w:rsid w:val="06983600"/>
    <w:rsid w:val="06AD3E4F"/>
    <w:rsid w:val="07DD0036"/>
    <w:rsid w:val="07F63695"/>
    <w:rsid w:val="0804772D"/>
    <w:rsid w:val="084118E7"/>
    <w:rsid w:val="0854599B"/>
    <w:rsid w:val="0866761E"/>
    <w:rsid w:val="086E7AB3"/>
    <w:rsid w:val="08712F28"/>
    <w:rsid w:val="09235369"/>
    <w:rsid w:val="09241E94"/>
    <w:rsid w:val="09460051"/>
    <w:rsid w:val="094E6DC1"/>
    <w:rsid w:val="09501A80"/>
    <w:rsid w:val="098959E5"/>
    <w:rsid w:val="0A863195"/>
    <w:rsid w:val="0B0F1950"/>
    <w:rsid w:val="0B360794"/>
    <w:rsid w:val="0B727839"/>
    <w:rsid w:val="0BD00F0E"/>
    <w:rsid w:val="0BDD1C85"/>
    <w:rsid w:val="0BEB3148"/>
    <w:rsid w:val="0BF77619"/>
    <w:rsid w:val="0BF8574A"/>
    <w:rsid w:val="0D1D1B2A"/>
    <w:rsid w:val="0D587F46"/>
    <w:rsid w:val="0D7655FE"/>
    <w:rsid w:val="0DB06593"/>
    <w:rsid w:val="0DDE5207"/>
    <w:rsid w:val="0E0245C2"/>
    <w:rsid w:val="0E2668AC"/>
    <w:rsid w:val="0E3B38EF"/>
    <w:rsid w:val="0E422448"/>
    <w:rsid w:val="0E880CEF"/>
    <w:rsid w:val="0F7C09FC"/>
    <w:rsid w:val="0FB2095D"/>
    <w:rsid w:val="10903DD4"/>
    <w:rsid w:val="10F071EF"/>
    <w:rsid w:val="111F631E"/>
    <w:rsid w:val="11390772"/>
    <w:rsid w:val="1159553D"/>
    <w:rsid w:val="115B2212"/>
    <w:rsid w:val="116E2C07"/>
    <w:rsid w:val="11C74BFF"/>
    <w:rsid w:val="120D1A31"/>
    <w:rsid w:val="122430F1"/>
    <w:rsid w:val="12532DCB"/>
    <w:rsid w:val="12617EFE"/>
    <w:rsid w:val="12E93AA8"/>
    <w:rsid w:val="133B2796"/>
    <w:rsid w:val="14292994"/>
    <w:rsid w:val="14A41CC1"/>
    <w:rsid w:val="14AC0386"/>
    <w:rsid w:val="15235831"/>
    <w:rsid w:val="152A1222"/>
    <w:rsid w:val="15771544"/>
    <w:rsid w:val="15F87315"/>
    <w:rsid w:val="15FD48CE"/>
    <w:rsid w:val="16766D2B"/>
    <w:rsid w:val="177F4E04"/>
    <w:rsid w:val="17D379D1"/>
    <w:rsid w:val="17D472B4"/>
    <w:rsid w:val="187C57C3"/>
    <w:rsid w:val="18CB0F21"/>
    <w:rsid w:val="1A1109D3"/>
    <w:rsid w:val="1A8633DC"/>
    <w:rsid w:val="1AA341E5"/>
    <w:rsid w:val="1B10299D"/>
    <w:rsid w:val="1B882414"/>
    <w:rsid w:val="1B8D4CA7"/>
    <w:rsid w:val="1BA74DC9"/>
    <w:rsid w:val="1BBE0186"/>
    <w:rsid w:val="1BC05FD1"/>
    <w:rsid w:val="1C0074A0"/>
    <w:rsid w:val="1C25518D"/>
    <w:rsid w:val="1C4A2337"/>
    <w:rsid w:val="1CF46934"/>
    <w:rsid w:val="1CF50086"/>
    <w:rsid w:val="1E4C3FA6"/>
    <w:rsid w:val="1E682209"/>
    <w:rsid w:val="1EB847B1"/>
    <w:rsid w:val="1F1F37C4"/>
    <w:rsid w:val="1FAE535E"/>
    <w:rsid w:val="1FF51C0C"/>
    <w:rsid w:val="20360B64"/>
    <w:rsid w:val="20791D29"/>
    <w:rsid w:val="20B90B70"/>
    <w:rsid w:val="210A089E"/>
    <w:rsid w:val="218A1494"/>
    <w:rsid w:val="21D13E07"/>
    <w:rsid w:val="22153B88"/>
    <w:rsid w:val="22253D6E"/>
    <w:rsid w:val="223310B9"/>
    <w:rsid w:val="223F749B"/>
    <w:rsid w:val="22D67AE9"/>
    <w:rsid w:val="232D7947"/>
    <w:rsid w:val="2370053E"/>
    <w:rsid w:val="23A84ADA"/>
    <w:rsid w:val="24003BF6"/>
    <w:rsid w:val="247E1D4C"/>
    <w:rsid w:val="24AF2273"/>
    <w:rsid w:val="2529568B"/>
    <w:rsid w:val="252C426E"/>
    <w:rsid w:val="256A364B"/>
    <w:rsid w:val="2596578B"/>
    <w:rsid w:val="266A3051"/>
    <w:rsid w:val="26AE7FA5"/>
    <w:rsid w:val="273307C3"/>
    <w:rsid w:val="27906D9E"/>
    <w:rsid w:val="27C34211"/>
    <w:rsid w:val="27DE138E"/>
    <w:rsid w:val="2803492B"/>
    <w:rsid w:val="288B7E00"/>
    <w:rsid w:val="28F8523B"/>
    <w:rsid w:val="29223766"/>
    <w:rsid w:val="2A1E3DA8"/>
    <w:rsid w:val="2B0D31F4"/>
    <w:rsid w:val="2B6A62E5"/>
    <w:rsid w:val="2BFA7525"/>
    <w:rsid w:val="2C7502FD"/>
    <w:rsid w:val="2C831CFB"/>
    <w:rsid w:val="2CB43DF6"/>
    <w:rsid w:val="2CC33271"/>
    <w:rsid w:val="2CCE1AE5"/>
    <w:rsid w:val="2D540B28"/>
    <w:rsid w:val="2D5F7691"/>
    <w:rsid w:val="2D6B4ACF"/>
    <w:rsid w:val="2DB07E6B"/>
    <w:rsid w:val="2E35154B"/>
    <w:rsid w:val="2E3F388D"/>
    <w:rsid w:val="2E7D5CEC"/>
    <w:rsid w:val="2E801318"/>
    <w:rsid w:val="2ED44965"/>
    <w:rsid w:val="2EF12E46"/>
    <w:rsid w:val="2F2E2A75"/>
    <w:rsid w:val="2F3A1922"/>
    <w:rsid w:val="2FAE23E2"/>
    <w:rsid w:val="2FC8622C"/>
    <w:rsid w:val="301247B4"/>
    <w:rsid w:val="30675846"/>
    <w:rsid w:val="30B52C18"/>
    <w:rsid w:val="30C9494B"/>
    <w:rsid w:val="31432EB6"/>
    <w:rsid w:val="31462D15"/>
    <w:rsid w:val="31940E9D"/>
    <w:rsid w:val="31C44443"/>
    <w:rsid w:val="31E5060C"/>
    <w:rsid w:val="31F06BEE"/>
    <w:rsid w:val="31F60213"/>
    <w:rsid w:val="327B1F4F"/>
    <w:rsid w:val="328C01EF"/>
    <w:rsid w:val="32B94B7F"/>
    <w:rsid w:val="33090A4C"/>
    <w:rsid w:val="332C7A82"/>
    <w:rsid w:val="3371251D"/>
    <w:rsid w:val="33D6607E"/>
    <w:rsid w:val="340E2E63"/>
    <w:rsid w:val="34125573"/>
    <w:rsid w:val="34591645"/>
    <w:rsid w:val="34766F5F"/>
    <w:rsid w:val="348B0CC3"/>
    <w:rsid w:val="34AC25BF"/>
    <w:rsid w:val="34B166F0"/>
    <w:rsid w:val="35011425"/>
    <w:rsid w:val="352914C3"/>
    <w:rsid w:val="353163A3"/>
    <w:rsid w:val="357062E4"/>
    <w:rsid w:val="35B81DB0"/>
    <w:rsid w:val="363515D7"/>
    <w:rsid w:val="365437D6"/>
    <w:rsid w:val="36D966D2"/>
    <w:rsid w:val="36FF649E"/>
    <w:rsid w:val="372C3815"/>
    <w:rsid w:val="37587B8F"/>
    <w:rsid w:val="37644185"/>
    <w:rsid w:val="37A75606"/>
    <w:rsid w:val="37D67022"/>
    <w:rsid w:val="3866359B"/>
    <w:rsid w:val="397C5C0A"/>
    <w:rsid w:val="39973DC2"/>
    <w:rsid w:val="3A160808"/>
    <w:rsid w:val="3A207269"/>
    <w:rsid w:val="3A275136"/>
    <w:rsid w:val="3A65559C"/>
    <w:rsid w:val="3AFA1D35"/>
    <w:rsid w:val="3B264E51"/>
    <w:rsid w:val="3B36390A"/>
    <w:rsid w:val="3B4B3764"/>
    <w:rsid w:val="3B6F7C91"/>
    <w:rsid w:val="3C3675B5"/>
    <w:rsid w:val="3C3C6DE3"/>
    <w:rsid w:val="3C431D64"/>
    <w:rsid w:val="3C8225FC"/>
    <w:rsid w:val="3CBA2A46"/>
    <w:rsid w:val="3D201F9D"/>
    <w:rsid w:val="3D862808"/>
    <w:rsid w:val="3D9202DD"/>
    <w:rsid w:val="3DCD63E6"/>
    <w:rsid w:val="3EB93EF6"/>
    <w:rsid w:val="3EC22D1E"/>
    <w:rsid w:val="3ECF5905"/>
    <w:rsid w:val="3ED83AF5"/>
    <w:rsid w:val="3FDD1D5A"/>
    <w:rsid w:val="3FF1429D"/>
    <w:rsid w:val="3FFD6CF0"/>
    <w:rsid w:val="40365855"/>
    <w:rsid w:val="407C1EAF"/>
    <w:rsid w:val="409D04C1"/>
    <w:rsid w:val="40B90BB2"/>
    <w:rsid w:val="40C23798"/>
    <w:rsid w:val="40EF0320"/>
    <w:rsid w:val="4119275B"/>
    <w:rsid w:val="41A236B8"/>
    <w:rsid w:val="41D20D21"/>
    <w:rsid w:val="42C0701A"/>
    <w:rsid w:val="42D56456"/>
    <w:rsid w:val="43383798"/>
    <w:rsid w:val="43BC33EF"/>
    <w:rsid w:val="448D39C8"/>
    <w:rsid w:val="45326AFD"/>
    <w:rsid w:val="458451C3"/>
    <w:rsid w:val="46825B96"/>
    <w:rsid w:val="4689195C"/>
    <w:rsid w:val="470D3B97"/>
    <w:rsid w:val="47AC1C01"/>
    <w:rsid w:val="47EA69C0"/>
    <w:rsid w:val="48365107"/>
    <w:rsid w:val="483E64A7"/>
    <w:rsid w:val="484077F5"/>
    <w:rsid w:val="4869502A"/>
    <w:rsid w:val="488067C7"/>
    <w:rsid w:val="48E716A7"/>
    <w:rsid w:val="48E738D8"/>
    <w:rsid w:val="4A74593C"/>
    <w:rsid w:val="4AFF49AD"/>
    <w:rsid w:val="4B05188B"/>
    <w:rsid w:val="4B0572BF"/>
    <w:rsid w:val="4B12123F"/>
    <w:rsid w:val="4B804BC6"/>
    <w:rsid w:val="4BA62FEB"/>
    <w:rsid w:val="4BD320FB"/>
    <w:rsid w:val="4C224A93"/>
    <w:rsid w:val="4C4158DB"/>
    <w:rsid w:val="4C6B531E"/>
    <w:rsid w:val="4CFF4B30"/>
    <w:rsid w:val="4D121E5F"/>
    <w:rsid w:val="4D303859"/>
    <w:rsid w:val="4D3075B3"/>
    <w:rsid w:val="4D5D2317"/>
    <w:rsid w:val="4DF14327"/>
    <w:rsid w:val="4E7C75EC"/>
    <w:rsid w:val="4EB71562"/>
    <w:rsid w:val="4F402876"/>
    <w:rsid w:val="4FB61A39"/>
    <w:rsid w:val="4FFD4BCF"/>
    <w:rsid w:val="50142D79"/>
    <w:rsid w:val="504C6653"/>
    <w:rsid w:val="50A043F1"/>
    <w:rsid w:val="510E360C"/>
    <w:rsid w:val="51542DBD"/>
    <w:rsid w:val="515F51CB"/>
    <w:rsid w:val="518124CE"/>
    <w:rsid w:val="518A5153"/>
    <w:rsid w:val="52272A36"/>
    <w:rsid w:val="52395389"/>
    <w:rsid w:val="524F6263"/>
    <w:rsid w:val="528422DE"/>
    <w:rsid w:val="52A20535"/>
    <w:rsid w:val="52B95845"/>
    <w:rsid w:val="52DE4A08"/>
    <w:rsid w:val="53283C83"/>
    <w:rsid w:val="53481C31"/>
    <w:rsid w:val="53821EB4"/>
    <w:rsid w:val="53C052D1"/>
    <w:rsid w:val="53D85F1F"/>
    <w:rsid w:val="543025EE"/>
    <w:rsid w:val="54377851"/>
    <w:rsid w:val="54464A03"/>
    <w:rsid w:val="5468119C"/>
    <w:rsid w:val="554A2E08"/>
    <w:rsid w:val="559E3FB4"/>
    <w:rsid w:val="55D70FE6"/>
    <w:rsid w:val="560B3200"/>
    <w:rsid w:val="56D96728"/>
    <w:rsid w:val="574D00A2"/>
    <w:rsid w:val="57B4440B"/>
    <w:rsid w:val="583B6928"/>
    <w:rsid w:val="58641A6C"/>
    <w:rsid w:val="586A19D7"/>
    <w:rsid w:val="58B51802"/>
    <w:rsid w:val="590212BF"/>
    <w:rsid w:val="592C154A"/>
    <w:rsid w:val="597A7F49"/>
    <w:rsid w:val="598748D5"/>
    <w:rsid w:val="5A2247D6"/>
    <w:rsid w:val="5A3711D2"/>
    <w:rsid w:val="5A3F0176"/>
    <w:rsid w:val="5A735474"/>
    <w:rsid w:val="5A7D2A4C"/>
    <w:rsid w:val="5A813DB9"/>
    <w:rsid w:val="5B5E53AF"/>
    <w:rsid w:val="5BA936E9"/>
    <w:rsid w:val="5BC92D0B"/>
    <w:rsid w:val="5BFF31E1"/>
    <w:rsid w:val="5C122925"/>
    <w:rsid w:val="5C354C1D"/>
    <w:rsid w:val="5CBB3D0E"/>
    <w:rsid w:val="5D510CFE"/>
    <w:rsid w:val="5D6E1F4F"/>
    <w:rsid w:val="5DB73447"/>
    <w:rsid w:val="5DC02C64"/>
    <w:rsid w:val="5DC85E19"/>
    <w:rsid w:val="5DFC50BD"/>
    <w:rsid w:val="5E65205F"/>
    <w:rsid w:val="5E6904AC"/>
    <w:rsid w:val="5E7B72B1"/>
    <w:rsid w:val="5F310FBC"/>
    <w:rsid w:val="5F391434"/>
    <w:rsid w:val="5F8846D0"/>
    <w:rsid w:val="5FA46DEB"/>
    <w:rsid w:val="600471EC"/>
    <w:rsid w:val="60144371"/>
    <w:rsid w:val="60314A4F"/>
    <w:rsid w:val="61012579"/>
    <w:rsid w:val="61175300"/>
    <w:rsid w:val="61282C09"/>
    <w:rsid w:val="61DF07AD"/>
    <w:rsid w:val="623834EF"/>
    <w:rsid w:val="62386C3C"/>
    <w:rsid w:val="6260710F"/>
    <w:rsid w:val="630B6BDB"/>
    <w:rsid w:val="6378347D"/>
    <w:rsid w:val="63DC2A9A"/>
    <w:rsid w:val="649812A4"/>
    <w:rsid w:val="64C337A0"/>
    <w:rsid w:val="64DA746E"/>
    <w:rsid w:val="653A578C"/>
    <w:rsid w:val="65CD4675"/>
    <w:rsid w:val="661C5A8A"/>
    <w:rsid w:val="662D7DCA"/>
    <w:rsid w:val="665621B0"/>
    <w:rsid w:val="665D0100"/>
    <w:rsid w:val="66D12B6C"/>
    <w:rsid w:val="66DF7F3C"/>
    <w:rsid w:val="67812F18"/>
    <w:rsid w:val="67B84CED"/>
    <w:rsid w:val="67D24FF9"/>
    <w:rsid w:val="68526375"/>
    <w:rsid w:val="685A4440"/>
    <w:rsid w:val="6895687F"/>
    <w:rsid w:val="68A40908"/>
    <w:rsid w:val="68B32798"/>
    <w:rsid w:val="68BB4C67"/>
    <w:rsid w:val="68DA0368"/>
    <w:rsid w:val="69B37A32"/>
    <w:rsid w:val="6A2B23C0"/>
    <w:rsid w:val="6A3F3EAD"/>
    <w:rsid w:val="6A670F20"/>
    <w:rsid w:val="6AB64CD9"/>
    <w:rsid w:val="6AF119FD"/>
    <w:rsid w:val="6B665DAF"/>
    <w:rsid w:val="6B6F0377"/>
    <w:rsid w:val="6BCB4BDB"/>
    <w:rsid w:val="6BD20A12"/>
    <w:rsid w:val="6C1D6038"/>
    <w:rsid w:val="6D5A725C"/>
    <w:rsid w:val="6D70219D"/>
    <w:rsid w:val="6D8C6249"/>
    <w:rsid w:val="6DA66833"/>
    <w:rsid w:val="6DB9336E"/>
    <w:rsid w:val="6DEE28AD"/>
    <w:rsid w:val="6E16418E"/>
    <w:rsid w:val="6EE449F0"/>
    <w:rsid w:val="6EE62032"/>
    <w:rsid w:val="6EEB3676"/>
    <w:rsid w:val="6FAD6F8F"/>
    <w:rsid w:val="700852D9"/>
    <w:rsid w:val="702351BE"/>
    <w:rsid w:val="70433410"/>
    <w:rsid w:val="708E2DDC"/>
    <w:rsid w:val="70DA2C14"/>
    <w:rsid w:val="70E602C5"/>
    <w:rsid w:val="70F15160"/>
    <w:rsid w:val="710A0A0C"/>
    <w:rsid w:val="7113031F"/>
    <w:rsid w:val="71514B0E"/>
    <w:rsid w:val="71AB4BC9"/>
    <w:rsid w:val="71C13AC6"/>
    <w:rsid w:val="71D376AB"/>
    <w:rsid w:val="71D84C0C"/>
    <w:rsid w:val="720860A3"/>
    <w:rsid w:val="72593EEB"/>
    <w:rsid w:val="72621E1B"/>
    <w:rsid w:val="72C22D2A"/>
    <w:rsid w:val="72C44250"/>
    <w:rsid w:val="72E54A6D"/>
    <w:rsid w:val="7303749F"/>
    <w:rsid w:val="73251D0A"/>
    <w:rsid w:val="73303C0B"/>
    <w:rsid w:val="734B2162"/>
    <w:rsid w:val="737A1333"/>
    <w:rsid w:val="73D71C33"/>
    <w:rsid w:val="73D93F25"/>
    <w:rsid w:val="73E97B4F"/>
    <w:rsid w:val="743D707D"/>
    <w:rsid w:val="744D662A"/>
    <w:rsid w:val="746D4CE0"/>
    <w:rsid w:val="74B76075"/>
    <w:rsid w:val="74DD5F11"/>
    <w:rsid w:val="75EC3788"/>
    <w:rsid w:val="767C6218"/>
    <w:rsid w:val="77357EED"/>
    <w:rsid w:val="774A077F"/>
    <w:rsid w:val="778F480C"/>
    <w:rsid w:val="77D4405B"/>
    <w:rsid w:val="77D8682E"/>
    <w:rsid w:val="77FB6E22"/>
    <w:rsid w:val="78381CA2"/>
    <w:rsid w:val="78870772"/>
    <w:rsid w:val="78A020B2"/>
    <w:rsid w:val="78EB4316"/>
    <w:rsid w:val="78F700D0"/>
    <w:rsid w:val="79312349"/>
    <w:rsid w:val="797E5402"/>
    <w:rsid w:val="79DE2099"/>
    <w:rsid w:val="7A483194"/>
    <w:rsid w:val="7A4D3C81"/>
    <w:rsid w:val="7A936DA4"/>
    <w:rsid w:val="7AD912FD"/>
    <w:rsid w:val="7B42234B"/>
    <w:rsid w:val="7BD215B2"/>
    <w:rsid w:val="7C0363A4"/>
    <w:rsid w:val="7C560928"/>
    <w:rsid w:val="7C8C75A9"/>
    <w:rsid w:val="7CA801C8"/>
    <w:rsid w:val="7CD05231"/>
    <w:rsid w:val="7D3E22E3"/>
    <w:rsid w:val="7D47478D"/>
    <w:rsid w:val="7DD92BCA"/>
    <w:rsid w:val="7E306FD4"/>
    <w:rsid w:val="7E4F5CB2"/>
    <w:rsid w:val="7E706F04"/>
    <w:rsid w:val="7E9052F2"/>
    <w:rsid w:val="7EB50CBA"/>
    <w:rsid w:val="7EC079F6"/>
    <w:rsid w:val="7F2D459B"/>
    <w:rsid w:val="7F4F493A"/>
    <w:rsid w:val="7F6E0A44"/>
    <w:rsid w:val="7F763979"/>
    <w:rsid w:val="7F8E1A46"/>
    <w:rsid w:val="7FD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0275D8"/>
      <w:u w:val="single"/>
    </w:rPr>
  </w:style>
  <w:style w:type="character" w:styleId="14">
    <w:name w:val="HTML Definition"/>
    <w:basedOn w:val="11"/>
    <w:qFormat/>
    <w:uiPriority w:val="0"/>
    <w:rPr>
      <w:i/>
    </w:rPr>
  </w:style>
  <w:style w:type="character" w:styleId="15">
    <w:name w:val="Hyperlink"/>
    <w:basedOn w:val="11"/>
    <w:qFormat/>
    <w:uiPriority w:val="0"/>
    <w:rPr>
      <w:color w:val="0275D8"/>
      <w:u w:val="singl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color w:val="BD4147"/>
      <w:sz w:val="21"/>
      <w:szCs w:val="21"/>
      <w:shd w:val="clear" w:fill="F7F7F9"/>
    </w:rPr>
  </w:style>
  <w:style w:type="character" w:styleId="17">
    <w:name w:val="footnote reference"/>
    <w:qFormat/>
    <w:uiPriority w:val="0"/>
    <w:rPr>
      <w:vertAlign w:val="superscript"/>
    </w:rPr>
  </w:style>
  <w:style w:type="character" w:styleId="18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20">
    <w:name w:val="fullscreen"/>
    <w:basedOn w:val="11"/>
    <w:qFormat/>
    <w:uiPriority w:val="0"/>
    <w:rPr>
      <w:color w:val="2FA4DA"/>
    </w:rPr>
  </w:style>
  <w:style w:type="character" w:customStyle="1" w:styleId="21">
    <w:name w:val="button"/>
    <w:basedOn w:val="11"/>
    <w:qFormat/>
    <w:uiPriority w:val="0"/>
  </w:style>
  <w:style w:type="character" w:customStyle="1" w:styleId="22">
    <w:name w:val="button1"/>
    <w:basedOn w:val="11"/>
    <w:qFormat/>
    <w:uiPriority w:val="0"/>
  </w:style>
  <w:style w:type="character" w:customStyle="1" w:styleId="23">
    <w:name w:val="layui-layer-tabnow"/>
    <w:basedOn w:val="11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demoicon"/>
    <w:basedOn w:val="11"/>
    <w:qFormat/>
    <w:uiPriority w:val="0"/>
    <w:rPr>
      <w:color w:val="FFFFFF"/>
    </w:rPr>
  </w:style>
  <w:style w:type="character" w:customStyle="1" w:styleId="25">
    <w:name w:val="hover10"/>
    <w:basedOn w:val="11"/>
    <w:qFormat/>
    <w:uiPriority w:val="0"/>
    <w:rPr>
      <w:shd w:val="clear" w:fill="4872B9"/>
    </w:rPr>
  </w:style>
  <w:style w:type="character" w:customStyle="1" w:styleId="26">
    <w:name w:val="more"/>
    <w:basedOn w:val="11"/>
    <w:qFormat/>
    <w:uiPriority w:val="0"/>
  </w:style>
  <w:style w:type="character" w:customStyle="1" w:styleId="27">
    <w:name w:val="tmpztreemove_arrow"/>
    <w:basedOn w:val="11"/>
    <w:qFormat/>
    <w:uiPriority w:val="0"/>
  </w:style>
  <w:style w:type="character" w:customStyle="1" w:styleId="28">
    <w:name w:val="first-child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朱伟铭</cp:lastModifiedBy>
  <cp:lastPrinted>2025-06-18T02:13:00Z</cp:lastPrinted>
  <dcterms:modified xsi:type="dcterms:W3CDTF">2025-06-20T00:42:52Z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88DEFA1FD0A14535B759A0DC29A04EA9_13</vt:lpwstr>
  </property>
</Properties>
</file>