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bookmarkEnd w:id="0"/>
    <w:p w14:paraId="3B785B28">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中山市板芙医院医用全自动电子血压计采购项目</w:t>
      </w:r>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lang w:val="en-US" w:eastAsia="zh-CN"/>
        </w:rPr>
      </w:pP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中山市板芙医院现对中山市板芙医院医用全自动电子血压计采购项目</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中山市板芙医院医用全自动电子血压计采购项目</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color w:val="000000" w:themeColor="text1"/>
          <w:sz w:val="21"/>
          <w:szCs w:val="21"/>
          <w:highlight w:val="none"/>
          <w:lang w:val="en-US" w:eastAsia="zh-CN"/>
          <w14:textFill>
            <w14:solidFill>
              <w14:schemeClr w14:val="tx1"/>
            </w14:solidFill>
          </w14:textFill>
        </w:rPr>
        <w:t>18,000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4605" w:type="pct"/>
        <w:tblInd w:w="54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3"/>
        <w:gridCol w:w="1392"/>
        <w:gridCol w:w="1706"/>
        <w:gridCol w:w="1607"/>
        <w:gridCol w:w="2028"/>
      </w:tblGrid>
      <w:tr w14:paraId="2C66E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1298" w:type="pct"/>
            <w:noWrap w:val="0"/>
            <w:vAlign w:val="center"/>
          </w:tcPr>
          <w:p w14:paraId="68F2A0A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765" w:type="pct"/>
            <w:noWrap w:val="0"/>
            <w:vAlign w:val="center"/>
          </w:tcPr>
          <w:p w14:paraId="61904A2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数量（单位）</w:t>
            </w:r>
          </w:p>
        </w:tc>
        <w:tc>
          <w:tcPr>
            <w:tcW w:w="937" w:type="pct"/>
            <w:noWrap w:val="0"/>
            <w:vAlign w:val="center"/>
          </w:tcPr>
          <w:p w14:paraId="462392C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p>
        </w:tc>
        <w:tc>
          <w:tcPr>
            <w:tcW w:w="883" w:type="pct"/>
            <w:noWrap w:val="0"/>
            <w:vAlign w:val="center"/>
          </w:tcPr>
          <w:p w14:paraId="3C0A9F26">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c>
          <w:tcPr>
            <w:tcW w:w="1114" w:type="pct"/>
            <w:noWrap w:val="0"/>
            <w:vAlign w:val="center"/>
          </w:tcPr>
          <w:p w14:paraId="2B90971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是否允许进口产品</w:t>
            </w:r>
          </w:p>
        </w:tc>
      </w:tr>
      <w:tr w14:paraId="3AD8F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1298" w:type="pct"/>
            <w:noWrap w:val="0"/>
            <w:vAlign w:val="center"/>
          </w:tcPr>
          <w:p w14:paraId="6225AC19">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医用全自动电子血压计</w:t>
            </w:r>
          </w:p>
        </w:tc>
        <w:tc>
          <w:tcPr>
            <w:tcW w:w="765" w:type="pct"/>
            <w:noWrap w:val="0"/>
            <w:vAlign w:val="center"/>
          </w:tcPr>
          <w:p w14:paraId="647AA390">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台</w:t>
            </w:r>
          </w:p>
        </w:tc>
        <w:tc>
          <w:tcPr>
            <w:tcW w:w="937" w:type="pct"/>
            <w:noWrap w:val="0"/>
            <w:vAlign w:val="center"/>
          </w:tcPr>
          <w:p w14:paraId="45B4BEE2">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883" w:type="pct"/>
            <w:noWrap w:val="0"/>
            <w:vAlign w:val="center"/>
          </w:tcPr>
          <w:p w14:paraId="4FB64025">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18,000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1114" w:type="pct"/>
            <w:noWrap w:val="0"/>
            <w:vAlign w:val="center"/>
          </w:tcPr>
          <w:p w14:paraId="3043D003">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否</w:t>
            </w:r>
          </w:p>
        </w:tc>
      </w:tr>
    </w:tbl>
    <w:p w14:paraId="40631AE9">
      <w:pPr>
        <w:keepNext w:val="0"/>
        <w:keepLines w:val="0"/>
        <w:pageBreakBefore w:val="0"/>
        <w:widowControl/>
        <w:numPr>
          <w:ilvl w:val="0"/>
          <w:numId w:val="0"/>
        </w:numPr>
        <w:suppressLineNumbers w:val="0"/>
        <w:kinsoku/>
        <w:overflowPunct/>
        <w:topLinePunct w:val="0"/>
        <w:bidi w:val="0"/>
        <w:spacing w:line="360" w:lineRule="exact"/>
        <w:ind w:firstLine="422" w:firstLineChars="200"/>
        <w:jc w:val="both"/>
        <w:textAlignment w:val="center"/>
        <w:rPr>
          <w:rFonts w:hint="default" w:ascii="宋体" w:hAnsi="宋体" w:cs="宋体"/>
          <w:b/>
          <w:bCs/>
          <w:i w:val="0"/>
          <w:iCs w:val="0"/>
          <w:color w:val="auto"/>
          <w:kern w:val="0"/>
          <w:sz w:val="21"/>
          <w:szCs w:val="21"/>
          <w:highlight w:val="none"/>
          <w:u w:val="none"/>
          <w:lang w:val="en-US" w:eastAsia="zh-CN" w:bidi="ar"/>
        </w:rPr>
      </w:pPr>
      <w:r>
        <w:rPr>
          <w:rFonts w:hint="eastAsia" w:ascii="宋体" w:hAnsi="宋体" w:cs="宋体"/>
          <w:b/>
          <w:bCs/>
          <w:i w:val="0"/>
          <w:iCs w:val="0"/>
          <w:color w:val="auto"/>
          <w:kern w:val="0"/>
          <w:sz w:val="21"/>
          <w:szCs w:val="21"/>
          <w:highlight w:val="none"/>
          <w:u w:val="none"/>
          <w:lang w:val="en-US" w:eastAsia="zh-CN" w:bidi="ar"/>
        </w:rPr>
        <w:t>四、采购需求书</w:t>
      </w:r>
    </w:p>
    <w:p w14:paraId="21ABB475">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（一）用途</w:t>
      </w:r>
    </w:p>
    <w:p w14:paraId="5D844C14">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1.主要用于高血压患者的血压监测及指导用药等。</w:t>
      </w:r>
    </w:p>
    <w:p w14:paraId="572A716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（二）技术规格、参数及要求</w:t>
      </w:r>
    </w:p>
    <w:p w14:paraId="159B71C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1.适应臂周范围最小值≤17cm，最大值≥42cm。</w:t>
      </w:r>
    </w:p>
    <w:p w14:paraId="6B4BC4B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2.可测最大血压值：≥260mmHg。血压测量精度≤±3mmHg。</w:t>
      </w:r>
    </w:p>
    <w:p w14:paraId="5ACADFB0">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3.脉博测量最大值≥180次/分。</w:t>
      </w:r>
    </w:p>
    <w:p w14:paraId="12FD92D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4肘部有位置传感器，并有图标提示手臂放置位置是否正确。</w:t>
      </w:r>
    </w:p>
    <w:p w14:paraId="310631F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5.臂筒可自主拆卸更换。</w:t>
      </w:r>
    </w:p>
    <w:p w14:paraId="79BD6107">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6.语音功能：测量全程语音提示，测量结束播报测量结果。</w:t>
      </w:r>
    </w:p>
    <w:p w14:paraId="421713C3">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7.ID功能：可连接扫描枪或身份证读卡器。</w:t>
      </w:r>
    </w:p>
    <w:p w14:paraId="7587DEFD">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8.须连接医院信息系统（HIS、LIS、PACS），由此产生的所有费用均包含在参选报价中。</w:t>
      </w:r>
    </w:p>
    <w:p w14:paraId="75586FA9">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9.配扫描枪1把。</w:t>
      </w:r>
    </w:p>
    <w:p w14:paraId="569C1F0F">
      <w:pPr>
        <w:keepNext w:val="0"/>
        <w:keepLines w:val="0"/>
        <w:pageBreakBefore w:val="0"/>
        <w:widowControl/>
        <w:numPr>
          <w:ilvl w:val="0"/>
          <w:numId w:val="0"/>
        </w:numPr>
        <w:suppressLineNumbers w:val="0"/>
        <w:kinsoku/>
        <w:overflowPunct/>
        <w:topLinePunct w:val="0"/>
        <w:bidi w:val="0"/>
        <w:spacing w:line="360" w:lineRule="exact"/>
        <w:ind w:firstLine="420" w:firstLineChars="200"/>
        <w:jc w:val="both"/>
        <w:textAlignment w:val="center"/>
        <w:rPr>
          <w:rFonts w:hint="eastAsia"/>
          <w:highlight w:val="none"/>
          <w:lang w:val="en-US" w:eastAsia="zh-CN"/>
        </w:rPr>
      </w:pPr>
      <w:r>
        <w:rPr>
          <w:rFonts w:hint="eastAsia" w:ascii="宋体" w:hAnsi="宋体" w:cs="宋体"/>
          <w:i w:val="0"/>
          <w:iCs w:val="0"/>
          <w:color w:val="auto"/>
          <w:kern w:val="0"/>
          <w:sz w:val="21"/>
          <w:szCs w:val="21"/>
          <w:highlight w:val="none"/>
          <w:u w:val="none"/>
          <w:lang w:val="en-US" w:eastAsia="zh-CN" w:bidi="ar"/>
        </w:rPr>
        <w:t>（三）商务要求</w:t>
      </w:r>
    </w:p>
    <w:p w14:paraId="3D8317D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1.付款方式</w:t>
      </w:r>
    </w:p>
    <w:p w14:paraId="7C4852B5">
      <w:pPr>
        <w:keepNext w:val="0"/>
        <w:keepLines w:val="0"/>
        <w:pageBreakBefore w:val="0"/>
        <w:kinsoku/>
        <w:overflowPunct/>
        <w:topLinePunct w:val="0"/>
        <w:bidi w:val="0"/>
        <w:spacing w:line="360" w:lineRule="exact"/>
        <w:ind w:firstLine="420" w:firstLineChars="200"/>
        <w:jc w:val="left"/>
        <w:rPr>
          <w:rFonts w:hint="default" w:ascii="宋体" w:hAnsi="宋体" w:eastAsia="宋体" w:cs="Times New Roman"/>
          <w:bCs/>
          <w:color w:val="auto"/>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sz w:val="21"/>
          <w:szCs w:val="21"/>
          <w:highlight w:val="none"/>
          <w:lang w:val="en-US" w:eastAsia="zh-CN"/>
        </w:rPr>
        <w:t>供应商须承诺中选后</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所参选设备的授权文件，在合同签订限期内未能提供的，采购人有权拒绝签订合同。</w:t>
      </w:r>
    </w:p>
    <w:p w14:paraId="70A21C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1.2合同签订后30天内交货，完成安装测试、运行验收合格后第3个月支付合同金额的100%。</w:t>
      </w:r>
    </w:p>
    <w:p w14:paraId="5C5211B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2.验收标准和方法</w:t>
      </w:r>
    </w:p>
    <w:p w14:paraId="4FC84AA4">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2.1提供的设备生产日期在合同签订日期前12个月以内。</w:t>
      </w:r>
    </w:p>
    <w:p w14:paraId="0CDC6330">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2.2设备验收在采购人和供应商双方共同参与下按国家有关的规定、规范进行。</w:t>
      </w:r>
    </w:p>
    <w:p w14:paraId="26DA7E32">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2.3验收时如发现所交付的设备有短装、次品、损坏或其它不符合本合同规定之情形者，采购人应作出详尽的现场记录，或由采购人、供应商双方签署备忘录。此现场记录或备忘录可用作补充、缺失和更换损坏部件的有效证据。因此产生的有关费用由供应商承担。</w:t>
      </w:r>
    </w:p>
    <w:p w14:paraId="27F7F12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2.4如果合同设备运输和安装过程中因事故造成货物短缺、损坏，供应商应及时安排补货、换货，以保证合同设备安装的成功完成。换货的相关费用由供应商承担。</w:t>
      </w:r>
    </w:p>
    <w:p w14:paraId="1F108C5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2.5供应商保证合同项下提供的设备不侵犯任何第三方的专利、商标或版权。否则，供应商须承担对第三方的专利或版权的侵权责任并承担因此而发生的所有费用。</w:t>
      </w:r>
    </w:p>
    <w:p w14:paraId="40C4707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3.质量保证期不少于2年。</w:t>
      </w:r>
    </w:p>
    <w:p w14:paraId="73390EA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4.保密要求：双方合作中涉及的所有业务、技术资料，均有责任对第三方保密。如其中一方擅自将涉及另一方的商业和技术秘密的资料透漏给第三方，则另一方将保留追究对方法律责任的权利。</w:t>
      </w:r>
    </w:p>
    <w:p w14:paraId="2BAC55ED">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5.安装调试及技术服务(含培训)要求：供应商负责设备的</w:t>
      </w:r>
      <w:r>
        <w:rPr>
          <w:rFonts w:hint="eastAsia" w:ascii="宋体" w:hAnsi="宋体" w:eastAsia="宋体" w:cs="宋体"/>
          <w:i w:val="0"/>
          <w:iCs w:val="0"/>
          <w:color w:val="auto"/>
          <w:kern w:val="0"/>
          <w:sz w:val="21"/>
          <w:szCs w:val="21"/>
          <w:highlight w:val="none"/>
          <w:u w:val="none"/>
          <w:lang w:val="en-US" w:eastAsia="zh-CN" w:bidi="ar"/>
        </w:rPr>
        <w:t>安装</w:t>
      </w:r>
      <w:r>
        <w:rPr>
          <w:rFonts w:hint="eastAsia" w:ascii="宋体" w:hAnsi="宋体" w:cs="宋体"/>
          <w:i w:val="0"/>
          <w:iCs w:val="0"/>
          <w:color w:val="auto"/>
          <w:kern w:val="0"/>
          <w:sz w:val="21"/>
          <w:szCs w:val="21"/>
          <w:highlight w:val="none"/>
          <w:u w:val="none"/>
          <w:lang w:val="en-US" w:eastAsia="zh-CN" w:bidi="ar"/>
        </w:rPr>
        <w:t>调试</w:t>
      </w:r>
      <w:r>
        <w:rPr>
          <w:rFonts w:hint="eastAsia" w:ascii="宋体" w:hAnsi="宋体" w:eastAsia="宋体" w:cs="Times New Roman"/>
          <w:bCs/>
          <w:color w:val="auto"/>
          <w:szCs w:val="21"/>
          <w:highlight w:val="none"/>
          <w:lang w:val="en-US" w:eastAsia="zh-CN"/>
        </w:rPr>
        <w:t>，供应商负责对科室技术人员、操作人员进行免费业务培训，培训内容包括设备操作、设备维护、专业知识等，培训保证技术人员、操作人员能够掌握并独立操作为止。</w:t>
      </w:r>
    </w:p>
    <w:p w14:paraId="7CB730CB">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6.售后服务</w:t>
      </w:r>
      <w:bookmarkStart w:id="1" w:name="_GoBack"/>
      <w:bookmarkEnd w:id="1"/>
      <w:r>
        <w:rPr>
          <w:rFonts w:hint="eastAsia" w:ascii="宋体" w:hAnsi="宋体" w:eastAsia="宋体" w:cs="Times New Roman"/>
          <w:bCs/>
          <w:color w:val="auto"/>
          <w:szCs w:val="21"/>
          <w:highlight w:val="none"/>
          <w:lang w:val="en-US" w:eastAsia="zh-CN"/>
        </w:rPr>
        <w:t>的要求：维修保修期满,供应商终身提供维修服务，不收取上门费,只收取配件等相关成本费用。仪器出现问题，供应商在接到采购人电话通知后，立即提供电话指导,如无法远程解决，供应商工程师在接到院方电话后24小时内提供解决方案,并负责设备的维修。</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6C7C61D5">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有有效的《医疗器械生产许可证》（或《医疗器械生产备案凭证》）或具备相关经营范围的《医疗器械经营许可证》（或《食品药品经营许可证》或《医疗器械经营备案凭证》）（提供证明材料复印件加盖供应商公章）。</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（三）供应商所投产品须具备有效的医疗器械注册证或备案证明；如为免注册的设备，须提供备案凭证或规定条文（提供证明材料复印件加盖供应商公章）。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37AE80B9">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1053B193">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firstLine="422" w:firstLine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303D4C7E">
      <w:pPr>
        <w:keepNext w:val="0"/>
        <w:keepLines w:val="0"/>
        <w:pageBreakBefore w:val="0"/>
        <w:widowControl w:val="0"/>
        <w:numPr>
          <w:ilvl w:val="0"/>
          <w:numId w:val="2"/>
        </w:numPr>
        <w:tabs>
          <w:tab w:val="left" w:pos="420"/>
        </w:tabs>
        <w:kinsoku/>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1F175CA1">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7BD77AD8">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须按“附件2参选文件格式”要求提供。</w:t>
      </w:r>
    </w:p>
    <w:p w14:paraId="66B4B861">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C11E3E2">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548F6110">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副本一起封装</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FE5031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19214B1B">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31602CD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lang w:eastAsia="zh-CN"/>
        </w:rPr>
        <w:t>当提交响应文件的供应商＜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家或通过</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val="en-US" w:eastAsia="zh-CN"/>
        </w:rPr>
        <w:t>符合性审查的供应商＜</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家的，本项目按废标处理。</w:t>
      </w:r>
    </w:p>
    <w:p w14:paraId="470F9077">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01CC1AE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3BFE9888">
      <w:pPr>
        <w:pStyle w:val="9"/>
        <w:keepNext w:val="0"/>
        <w:keepLines w:val="0"/>
        <w:pageBreakBefore w:val="0"/>
        <w:numPr>
          <w:ilvl w:val="0"/>
          <w:numId w:val="3"/>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3097FA9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DB54EC7">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6C09DF5B">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2.按</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文件规定（</w:t>
      </w:r>
      <w:r>
        <w:rPr>
          <w:rFonts w:hint="eastAsia" w:ascii="宋体" w:hAnsi="宋体" w:eastAsia="宋体" w:cs="宋体"/>
          <w:b/>
          <w:bCs w:val="0"/>
          <w:color w:val="auto"/>
          <w:sz w:val="21"/>
          <w:szCs w:val="21"/>
          <w:highlight w:val="none"/>
          <w:lang w:val="en-US" w:eastAsia="zh-CN"/>
        </w:rPr>
        <w:t>以</w:t>
      </w:r>
      <w:r>
        <w:rPr>
          <w:rFonts w:hint="eastAsia" w:ascii="宋体" w:hAnsi="宋体" w:cs="宋体"/>
          <w:b/>
          <w:bCs w:val="0"/>
          <w:color w:val="auto"/>
          <w:sz w:val="21"/>
          <w:szCs w:val="21"/>
          <w:highlight w:val="none"/>
          <w:lang w:val="en-US" w:eastAsia="zh-CN"/>
        </w:rPr>
        <w:t>“附件2参选</w:t>
      </w:r>
      <w:r>
        <w:rPr>
          <w:rFonts w:hint="eastAsia" w:ascii="宋体" w:hAnsi="宋体" w:eastAsia="宋体" w:cs="宋体"/>
          <w:b/>
          <w:bCs w:val="0"/>
          <w:color w:val="auto"/>
          <w:sz w:val="21"/>
          <w:szCs w:val="21"/>
          <w:highlight w:val="none"/>
          <w:lang w:val="en-US" w:eastAsia="zh-CN"/>
        </w:rPr>
        <w:t>文件格式</w:t>
      </w:r>
      <w:r>
        <w:rPr>
          <w:rFonts w:hint="eastAsia" w:ascii="宋体" w:hAnsi="宋体" w:cs="宋体"/>
          <w:b/>
          <w:bCs w:val="0"/>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为准</w:t>
      </w:r>
      <w:r>
        <w:rPr>
          <w:rFonts w:hint="eastAsia" w:ascii="宋体" w:hAnsi="宋体" w:eastAsia="宋体" w:cs="宋体"/>
          <w:bCs/>
          <w:color w:val="auto"/>
          <w:sz w:val="21"/>
          <w:szCs w:val="21"/>
          <w:highlight w:val="none"/>
          <w:lang w:val="en-US" w:eastAsia="zh-CN"/>
        </w:rPr>
        <w:t>）加盖公章和签署</w:t>
      </w:r>
      <w:r>
        <w:rPr>
          <w:rFonts w:hint="eastAsia" w:ascii="宋体" w:hAnsi="宋体" w:cs="宋体"/>
          <w:bCs/>
          <w:color w:val="auto"/>
          <w:sz w:val="21"/>
          <w:szCs w:val="21"/>
          <w:highlight w:val="none"/>
          <w:lang w:val="en-US" w:eastAsia="zh-CN"/>
        </w:rPr>
        <w:t>；</w:t>
      </w:r>
    </w:p>
    <w:p w14:paraId="7458D50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olor w:val="auto"/>
          <w:highlight w:val="none"/>
          <w:lang w:val="en-US" w:eastAsia="zh-CN" w:bidi="ar"/>
        </w:rPr>
        <w:t>3.</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6438587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4.参选文件主要资料齐全；</w:t>
      </w:r>
    </w:p>
    <w:p w14:paraId="22CC7E89">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5.按本公告规定格式填写，无内容不全或关键字迹模糊、无法辨认；</w:t>
      </w:r>
    </w:p>
    <w:p w14:paraId="3E8D6EE7">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6.满足采购</w:t>
      </w:r>
      <w:r>
        <w:rPr>
          <w:rFonts w:hint="default" w:ascii="宋体" w:hAnsi="宋体" w:cs="宋体"/>
          <w:bCs/>
          <w:color w:val="auto"/>
          <w:sz w:val="21"/>
          <w:szCs w:val="21"/>
          <w:highlight w:val="none"/>
          <w:lang w:val="en-US" w:eastAsia="zh-CN"/>
        </w:rPr>
        <w:t>文件中所有带“★”标识的实质性条款</w:t>
      </w:r>
      <w:r>
        <w:rPr>
          <w:rFonts w:hint="eastAsia" w:ascii="宋体" w:hAnsi="宋体" w:eastAsia="宋体" w:cs="宋体"/>
          <w:color w:val="auto"/>
          <w:sz w:val="21"/>
          <w:szCs w:val="21"/>
          <w:highlight w:val="none"/>
          <w:lang w:val="en-US" w:eastAsia="zh-CN"/>
        </w:rPr>
        <w:t>（如有）</w:t>
      </w:r>
      <w:r>
        <w:rPr>
          <w:rFonts w:hint="eastAsia" w:ascii="宋体" w:hAnsi="宋体" w:cs="宋体"/>
          <w:bCs/>
          <w:color w:val="auto"/>
          <w:sz w:val="21"/>
          <w:szCs w:val="21"/>
          <w:highlight w:val="none"/>
          <w:lang w:val="en-US" w:eastAsia="zh-CN"/>
        </w:rPr>
        <w:t>；</w:t>
      </w:r>
    </w:p>
    <w:p w14:paraId="466DE528">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en-US" w:eastAsia="zh-CN"/>
        </w:rPr>
        <w:t>.响应报价</w:t>
      </w:r>
      <w:r>
        <w:rPr>
          <w:rFonts w:hint="eastAsia" w:ascii="宋体" w:hAnsi="宋体" w:cs="宋体"/>
          <w:bCs/>
          <w:color w:val="auto"/>
          <w:sz w:val="21"/>
          <w:szCs w:val="21"/>
          <w:highlight w:val="none"/>
          <w:lang w:val="en-US" w:eastAsia="zh-CN"/>
        </w:rPr>
        <w:t>未超过</w:t>
      </w:r>
      <w:r>
        <w:rPr>
          <w:rFonts w:hint="eastAsia" w:ascii="宋体" w:hAnsi="宋体" w:eastAsia="宋体" w:cs="宋体"/>
          <w:bCs/>
          <w:color w:val="auto"/>
          <w:sz w:val="21"/>
          <w:szCs w:val="21"/>
          <w:highlight w:val="none"/>
          <w:lang w:val="en-US" w:eastAsia="zh-CN"/>
        </w:rPr>
        <w:t>采购预算金额的。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90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5"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3"/>
        <w:gridCol w:w="1623"/>
        <w:gridCol w:w="7073"/>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highlight w:val="none"/>
                <w:lang w:eastAsia="zh-CN"/>
              </w:rPr>
            </w:pPr>
            <w:r>
              <w:rPr>
                <w:rStyle w:val="18"/>
                <w:rFonts w:hint="eastAsia" w:ascii="宋体" w:hAnsi="宋体" w:eastAsia="宋体" w:cs="宋体"/>
                <w:color w:val="333333"/>
                <w:sz w:val="21"/>
                <w:szCs w:val="21"/>
                <w:highlight w:val="none"/>
                <w:lang w:eastAsia="zh-CN"/>
              </w:rPr>
              <w:t>评审项目</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highlight w:val="none"/>
              </w:rPr>
            </w:pPr>
            <w:r>
              <w:rPr>
                <w:rStyle w:val="18"/>
                <w:rFonts w:hint="eastAsia" w:ascii="宋体" w:hAnsi="宋体" w:eastAsia="宋体" w:cs="宋体"/>
                <w:color w:val="333333"/>
                <w:sz w:val="21"/>
                <w:szCs w:val="21"/>
                <w:highlight w:val="none"/>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16DF1B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对</w:t>
            </w:r>
            <w:r>
              <w:rPr>
                <w:rFonts w:hint="eastAsia" w:ascii="宋体" w:hAnsi="宋体" w:cs="宋体"/>
                <w:i w:val="0"/>
                <w:iCs w:val="0"/>
                <w:color w:val="auto"/>
                <w:kern w:val="0"/>
                <w:sz w:val="21"/>
                <w:szCs w:val="21"/>
                <w:highlight w:val="none"/>
                <w:u w:val="none"/>
                <w:lang w:val="en-US" w:eastAsia="zh-CN" w:bidi="ar"/>
              </w:rPr>
              <w:t>采购需求书</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rPr>
              <w:t>响应程度</w:t>
            </w:r>
          </w:p>
          <w:p w14:paraId="0261C47C">
            <w:pPr>
              <w:keepNext w:val="0"/>
              <w:keepLines w:val="0"/>
              <w:pageBreakBefore w:val="0"/>
              <w:widowControl/>
              <w:kinsoku/>
              <w:wordWrap/>
              <w:overflowPunct/>
              <w:topLinePunct w:val="0"/>
              <w:autoSpaceDE/>
              <w:autoSpaceDN/>
              <w:bidi w:val="0"/>
              <w:adjustRightInd/>
              <w:snapToGrid/>
              <w:spacing w:line="360" w:lineRule="exact"/>
              <w:ind w:left="210" w:leftChars="0" w:hanging="210" w:hangingChars="100"/>
              <w:jc w:val="left"/>
              <w:textAlignment w:val="auto"/>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40355E5">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四、采购</w:t>
            </w:r>
            <w:r>
              <w:rPr>
                <w:rFonts w:hint="eastAsia" w:ascii="宋体" w:hAnsi="宋体" w:eastAsia="宋体" w:cs="宋体"/>
                <w:color w:val="auto"/>
                <w:szCs w:val="21"/>
                <w:highlight w:val="none"/>
              </w:rPr>
              <w:t>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下列的（一）、（二）、（三）的所有条款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20</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评审分数按以下公式进行计算：优于或完全响应的条款数量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45</w:t>
            </w:r>
            <w:r>
              <w:rPr>
                <w:rFonts w:hint="eastAsia" w:ascii="宋体" w:hAnsi="宋体" w:eastAsia="宋体" w:cs="宋体"/>
                <w:color w:val="auto"/>
                <w:szCs w:val="21"/>
                <w:highlight w:val="none"/>
              </w:rPr>
              <w:t>=一般条款响应程度得分（按四舍五入保留两位）。）</w:t>
            </w:r>
          </w:p>
          <w:p w14:paraId="2ECA49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eastAsia="zh-CN"/>
              </w:rPr>
            </w:pPr>
            <w:r>
              <w:rPr>
                <w:rFonts w:hint="eastAsia" w:ascii="宋体" w:hAnsi="宋体" w:cs="宋体"/>
                <w:b/>
                <w:bCs w:val="0"/>
                <w:color w:val="auto"/>
                <w:szCs w:val="21"/>
                <w:highlight w:val="none"/>
                <w:lang w:val="en-US" w:eastAsia="zh-CN"/>
              </w:rPr>
              <w:t>注：本项满分为45分，以采购需求书中要求提供（如有）的证明材料作为评审依据，未按要求提供不得分。</w:t>
            </w:r>
          </w:p>
        </w:tc>
      </w:tr>
      <w:tr w14:paraId="267153EF">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013901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A703C1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总体实施方案 </w:t>
            </w:r>
          </w:p>
          <w:p w14:paraId="4D1A8B3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kern w:val="0"/>
                <w:sz w:val="21"/>
                <w:szCs w:val="21"/>
                <w:highlight w:val="yellow"/>
                <w:lang w:val="en-US" w:eastAsia="zh-CN" w:bidi="ar"/>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89FF9C8">
            <w:pPr>
              <w:pStyle w:val="25"/>
              <w:jc w:val="left"/>
              <w:rPr>
                <w:sz w:val="21"/>
                <w:szCs w:val="21"/>
                <w:highlight w:val="none"/>
              </w:rPr>
            </w:pPr>
            <w:r>
              <w:rPr>
                <w:sz w:val="21"/>
                <w:szCs w:val="21"/>
                <w:highlight w:val="none"/>
              </w:rPr>
              <w:t>根据</w:t>
            </w:r>
            <w:r>
              <w:rPr>
                <w:rFonts w:hint="eastAsia"/>
                <w:sz w:val="21"/>
                <w:szCs w:val="21"/>
                <w:highlight w:val="none"/>
                <w:lang w:eastAsia="zh-CN"/>
              </w:rPr>
              <w:t>供应商</w:t>
            </w:r>
            <w:r>
              <w:rPr>
                <w:sz w:val="21"/>
                <w:szCs w:val="21"/>
                <w:highlight w:val="none"/>
              </w:rPr>
              <w:t xml:space="preserve">提供的总体实施方案（包括但不限于：服务目标达成措施、服务计划、具体执行措施等）进行评审： </w:t>
            </w:r>
          </w:p>
          <w:p w14:paraId="7696BB15">
            <w:pPr>
              <w:pStyle w:val="25"/>
              <w:numPr>
                <w:ilvl w:val="0"/>
                <w:numId w:val="0"/>
              </w:numPr>
              <w:jc w:val="left"/>
              <w:rPr>
                <w:sz w:val="21"/>
                <w:szCs w:val="21"/>
                <w:highlight w:val="none"/>
              </w:rPr>
            </w:pPr>
            <w:r>
              <w:rPr>
                <w:rFonts w:hint="eastAsia"/>
                <w:sz w:val="21"/>
                <w:szCs w:val="21"/>
                <w:highlight w:val="none"/>
                <w:lang w:val="en-US" w:eastAsia="zh-CN"/>
              </w:rPr>
              <w:t>1.</w:t>
            </w:r>
            <w:r>
              <w:rPr>
                <w:sz w:val="21"/>
                <w:szCs w:val="21"/>
                <w:highlight w:val="none"/>
              </w:rPr>
              <w:t>服务目标达成措施清晰明确，服务计划详尽，执行方案（包括流程、制度等，下同）可操作性强的，得</w:t>
            </w:r>
            <w:r>
              <w:rPr>
                <w:rFonts w:hint="eastAsia"/>
                <w:sz w:val="21"/>
                <w:szCs w:val="21"/>
                <w:highlight w:val="none"/>
                <w:lang w:val="en-US" w:eastAsia="zh-CN"/>
              </w:rPr>
              <w:t>15</w:t>
            </w:r>
            <w:r>
              <w:rPr>
                <w:sz w:val="21"/>
                <w:szCs w:val="21"/>
                <w:highlight w:val="none"/>
              </w:rPr>
              <w:t>分；</w:t>
            </w:r>
          </w:p>
          <w:p w14:paraId="3BED19A9">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2.</w:t>
            </w:r>
            <w:r>
              <w:rPr>
                <w:sz w:val="21"/>
                <w:szCs w:val="21"/>
                <w:highlight w:val="none"/>
              </w:rPr>
              <w:t>服务目标达成措施较为明确，服务计划较为详尽，执行方案可操作性较强的，得</w:t>
            </w:r>
            <w:r>
              <w:rPr>
                <w:rFonts w:hint="eastAsia"/>
                <w:sz w:val="21"/>
                <w:szCs w:val="21"/>
                <w:highlight w:val="none"/>
                <w:lang w:val="en-US" w:eastAsia="zh-CN"/>
              </w:rPr>
              <w:t>11</w:t>
            </w:r>
            <w:r>
              <w:rPr>
                <w:sz w:val="21"/>
                <w:szCs w:val="21"/>
                <w:highlight w:val="none"/>
              </w:rPr>
              <w:t>分；</w:t>
            </w:r>
          </w:p>
          <w:p w14:paraId="1A310166">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3.</w:t>
            </w:r>
            <w:r>
              <w:rPr>
                <w:sz w:val="21"/>
                <w:szCs w:val="21"/>
                <w:highlight w:val="none"/>
              </w:rPr>
              <w:t>服务目标达成措施不明确，服务计划简单粗略，执行方案可操作性较弱的，得</w:t>
            </w:r>
            <w:r>
              <w:rPr>
                <w:rFonts w:hint="eastAsia"/>
                <w:sz w:val="21"/>
                <w:szCs w:val="21"/>
                <w:highlight w:val="none"/>
                <w:lang w:val="en-US" w:eastAsia="zh-CN"/>
              </w:rPr>
              <w:t>7</w:t>
            </w:r>
            <w:r>
              <w:rPr>
                <w:sz w:val="21"/>
                <w:szCs w:val="21"/>
                <w:highlight w:val="none"/>
              </w:rPr>
              <w:t>分；</w:t>
            </w:r>
          </w:p>
          <w:p w14:paraId="20D9D21B">
            <w:pPr>
              <w:pStyle w:val="25"/>
              <w:numPr>
                <w:ilvl w:val="0"/>
                <w:numId w:val="0"/>
              </w:numPr>
              <w:jc w:val="left"/>
              <w:rPr>
                <w:rFonts w:hint="eastAsia" w:asciiTheme="minorHAnsi" w:hAnsiTheme="minorHAnsi" w:eastAsiaTheme="minorEastAsia" w:cstheme="minorBidi"/>
                <w:sz w:val="21"/>
                <w:szCs w:val="21"/>
                <w:highlight w:val="none"/>
                <w:lang w:val="en-US" w:eastAsia="zh-CN"/>
              </w:rPr>
            </w:pPr>
            <w:r>
              <w:rPr>
                <w:rFonts w:hint="eastAsia"/>
                <w:sz w:val="21"/>
                <w:szCs w:val="21"/>
                <w:highlight w:val="none"/>
                <w:lang w:val="en-US" w:eastAsia="zh-CN"/>
              </w:rPr>
              <w:t>4.</w:t>
            </w:r>
            <w:r>
              <w:rPr>
                <w:sz w:val="21"/>
                <w:szCs w:val="21"/>
                <w:highlight w:val="none"/>
              </w:rPr>
              <w:t>服务目标达成措施模糊，服务计划缺失，执行方案可操作性差的，得</w:t>
            </w:r>
            <w:r>
              <w:rPr>
                <w:rFonts w:hint="eastAsia"/>
                <w:sz w:val="21"/>
                <w:szCs w:val="21"/>
                <w:highlight w:val="none"/>
                <w:lang w:val="en-US" w:eastAsia="zh-CN"/>
              </w:rPr>
              <w:t>3</w:t>
            </w:r>
            <w:r>
              <w:rPr>
                <w:sz w:val="21"/>
                <w:szCs w:val="21"/>
                <w:highlight w:val="none"/>
              </w:rPr>
              <w:t>分；</w:t>
            </w:r>
          </w:p>
          <w:p w14:paraId="4958E57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yellow"/>
                <w:lang w:val="zh-CN" w:eastAsia="zh-CN" w:bidi="ar-SA"/>
              </w:rPr>
            </w:pPr>
            <w:r>
              <w:rPr>
                <w:rFonts w:hint="eastAsia"/>
                <w:sz w:val="21"/>
                <w:szCs w:val="21"/>
                <w:highlight w:val="none"/>
                <w:lang w:val="en-US" w:eastAsia="zh-CN"/>
              </w:rPr>
              <w:t>5.</w:t>
            </w:r>
            <w:r>
              <w:rPr>
                <w:sz w:val="21"/>
                <w:szCs w:val="21"/>
                <w:highlight w:val="none"/>
              </w:rPr>
              <w:t>未提供相关内容阐述的，不得分。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4A48A04A">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安装实施规范、测试验收标准 (</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7A3E0B5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安装实施规范、测试验收标准是否考虑项目实际情况详尽合理、科学、可行。</w:t>
            </w:r>
          </w:p>
          <w:p w14:paraId="3234626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安装、检测、验收计划条理清晰，脉络分明，操作性强的得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6512A367">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安装、检测、验收计划条理较清晰，脉络较分明，操作性较强的得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537F78C5">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安装、检测、验收计划条理模糊，操作性一般的得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1434FAE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安装、检测、验收计划条理混乱，脉络不分明，操作性差的得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097A8D23">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5.不提供得0分。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48426A0">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售后服务承诺</w:t>
            </w:r>
            <w:r>
              <w:rPr>
                <w:rFonts w:hint="eastAsia" w:ascii="宋体" w:hAnsi="宋体" w:cs="宋体"/>
                <w:sz w:val="21"/>
                <w:szCs w:val="21"/>
                <w:highlight w:val="none"/>
                <w:lang w:val="en-US" w:eastAsia="zh-CN"/>
              </w:rPr>
              <w:t>方案</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3564"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03A11FB1">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根据供应商的售后服务承诺方案进行评审（包括安装调试、验收方案、质保期、</w:t>
            </w:r>
            <w:r>
              <w:rPr>
                <w:rFonts w:hint="eastAsia" w:ascii="宋体" w:hAnsi="宋体" w:cs="宋体"/>
                <w:sz w:val="21"/>
                <w:szCs w:val="21"/>
                <w:highlight w:val="none"/>
                <w:lang w:val="en-US" w:eastAsia="zh-CN"/>
              </w:rPr>
              <w:t>承诺提供的设备生产日期、</w:t>
            </w:r>
            <w:r>
              <w:rPr>
                <w:rFonts w:hint="eastAsia" w:ascii="宋体" w:hAnsi="宋体" w:eastAsia="宋体" w:cs="宋体"/>
                <w:sz w:val="21"/>
                <w:szCs w:val="21"/>
                <w:highlight w:val="none"/>
              </w:rPr>
              <w:t>维护保养、培训等内容）：</w:t>
            </w:r>
          </w:p>
          <w:p w14:paraId="672DD18E">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质量保证期、承诺提供的设备生产日期均</w:t>
            </w:r>
            <w:r>
              <w:rPr>
                <w:rFonts w:hint="eastAsia" w:ascii="宋体" w:hAnsi="宋体" w:eastAsia="宋体" w:cs="宋体"/>
                <w:sz w:val="21"/>
                <w:szCs w:val="21"/>
                <w:highlight w:val="none"/>
              </w:rPr>
              <w:t>优于</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要求，售后服务内容详细、可行、操作性强，售后服务专业、解决问题效率高，服务响应到场时间短，零配件供应详细、合理，切合实际，完全响应并满足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 xml:space="preserve">分； </w:t>
            </w:r>
          </w:p>
          <w:p w14:paraId="7F3BA1E0">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承诺的质量保证期明确，</w:t>
            </w:r>
            <w:r>
              <w:rPr>
                <w:rFonts w:hint="eastAsia" w:ascii="宋体" w:hAnsi="宋体" w:cs="宋体"/>
                <w:sz w:val="21"/>
                <w:szCs w:val="21"/>
                <w:highlight w:val="none"/>
                <w:lang w:val="en-US" w:eastAsia="zh-CN"/>
              </w:rPr>
              <w:t>质量保证期、承诺提供的设备生产日期均</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比选</w:t>
            </w:r>
            <w:r>
              <w:rPr>
                <w:rFonts w:hint="eastAsia" w:ascii="宋体" w:hAnsi="宋体" w:cs="宋体"/>
                <w:sz w:val="21"/>
                <w:szCs w:val="21"/>
                <w:highlight w:val="none"/>
                <w:lang w:val="en-US" w:eastAsia="zh-CN"/>
              </w:rPr>
              <w:t>文件</w:t>
            </w:r>
            <w:r>
              <w:rPr>
                <w:rFonts w:hint="eastAsia" w:ascii="宋体" w:hAnsi="宋体" w:eastAsia="宋体" w:cs="宋体"/>
                <w:sz w:val="21"/>
                <w:szCs w:val="21"/>
                <w:highlight w:val="none"/>
              </w:rPr>
              <w:t>要求，售后服务内容较详细、可行，售后服务较专业、解决问题效率较高，服务响应到场时间较短，零配件供应较详细、合理，较能满足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 xml:space="preserve">分； </w:t>
            </w:r>
          </w:p>
          <w:p w14:paraId="2088171F">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承诺的质量保证期基本明确，</w:t>
            </w:r>
            <w:r>
              <w:rPr>
                <w:rFonts w:hint="eastAsia" w:ascii="宋体" w:hAnsi="宋体" w:cs="宋体"/>
                <w:sz w:val="21"/>
                <w:szCs w:val="21"/>
                <w:highlight w:val="none"/>
                <w:lang w:val="en-US" w:eastAsia="zh-CN"/>
              </w:rPr>
              <w:t>质量保证期或承诺提供的设备生产日期满足比选文件要求，</w:t>
            </w:r>
            <w:r>
              <w:rPr>
                <w:rFonts w:hint="eastAsia" w:ascii="宋体" w:hAnsi="宋体" w:eastAsia="宋体" w:cs="宋体"/>
                <w:sz w:val="21"/>
                <w:szCs w:val="21"/>
                <w:highlight w:val="none"/>
              </w:rPr>
              <w:t>售后服务内容简单，解决问题效率一般，服务响应到场时间较长，零配件供应不详尽，不能完全响应</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 xml:space="preserve">分； </w:t>
            </w:r>
          </w:p>
          <w:p w14:paraId="112CCFC8">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售后服务内容、质量保证期模糊不清，</w:t>
            </w:r>
            <w:r>
              <w:rPr>
                <w:rFonts w:hint="eastAsia" w:ascii="宋体" w:hAnsi="宋体" w:cs="宋体"/>
                <w:sz w:val="21"/>
                <w:szCs w:val="21"/>
                <w:highlight w:val="none"/>
                <w:lang w:val="en-US" w:eastAsia="zh-CN"/>
              </w:rPr>
              <w:t>承诺提供的设备生产日期不能满足比选文件要求，</w:t>
            </w:r>
            <w:r>
              <w:rPr>
                <w:rFonts w:hint="eastAsia" w:ascii="宋体" w:hAnsi="宋体" w:eastAsia="宋体" w:cs="宋体"/>
                <w:sz w:val="21"/>
                <w:szCs w:val="21"/>
                <w:highlight w:val="none"/>
              </w:rPr>
              <w:t>售后服务差，服务响应到场时间等不满足</w:t>
            </w:r>
            <w:r>
              <w:rPr>
                <w:rFonts w:hint="eastAsia" w:ascii="宋体" w:hAnsi="宋体" w:cs="宋体"/>
                <w:sz w:val="21"/>
                <w:szCs w:val="21"/>
                <w:highlight w:val="none"/>
                <w:lang w:eastAsia="zh-CN"/>
              </w:rPr>
              <w:t>采购需求</w:t>
            </w:r>
            <w:r>
              <w:rPr>
                <w:rFonts w:hint="eastAsia" w:ascii="宋体" w:hAnsi="宋体" w:eastAsia="宋体" w:cs="宋体"/>
                <w:sz w:val="21"/>
                <w:szCs w:val="21"/>
                <w:highlight w:val="none"/>
                <w:lang w:eastAsia="zh-CN"/>
              </w:rPr>
              <w:t>或</w:t>
            </w:r>
            <w:r>
              <w:rPr>
                <w:rFonts w:hint="eastAsia" w:ascii="宋体" w:hAnsi="宋体" w:eastAsia="宋体" w:cs="宋体"/>
                <w:sz w:val="21"/>
                <w:szCs w:val="21"/>
                <w:highlight w:val="none"/>
              </w:rPr>
              <w:t>不提供方案</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r>
              <w:rPr>
                <w:rFonts w:hint="eastAsia" w:ascii="宋体" w:hAnsi="宋体" w:cs="宋体"/>
                <w:sz w:val="21"/>
                <w:szCs w:val="21"/>
                <w:highlight w:val="none"/>
                <w:lang w:val="en-US" w:eastAsia="zh-CN"/>
              </w:rPr>
              <w:t>；</w:t>
            </w:r>
          </w:p>
          <w:p w14:paraId="5EE9EE7A">
            <w:pPr>
              <w:keepNext w:val="0"/>
              <w:keepLines w:val="0"/>
              <w:pageBreakBefore w:val="0"/>
              <w:kinsoku/>
              <w:overflowPunct/>
              <w:topLinePunct w:val="0"/>
              <w:bidi w:val="0"/>
              <w:spacing w:line="36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不提供得0分。</w:t>
            </w:r>
          </w:p>
        </w:tc>
      </w:tr>
    </w:tbl>
    <w:p w14:paraId="7568A1F1">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43C3739E">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4A5BC435">
      <w:pPr>
        <w:keepNext w:val="0"/>
        <w:keepLines w:val="0"/>
        <w:pageBreakBefore w:val="0"/>
        <w:kinsoku/>
        <w:wordWrap/>
        <w:overflowPunct/>
        <w:topLinePunct w:val="0"/>
        <w:bidi w:val="0"/>
        <w:spacing w:line="360" w:lineRule="exact"/>
        <w:jc w:val="both"/>
        <w:rPr>
          <w:rFonts w:hint="eastAsia" w:ascii="宋体" w:hAnsi="宋体" w:eastAsia="宋体" w:cs="宋体"/>
          <w:b/>
          <w:bCs w:val="0"/>
          <w:color w:val="auto"/>
          <w:sz w:val="21"/>
          <w:szCs w:val="21"/>
          <w:highlight w:val="none"/>
          <w:lang w:eastAsia="zh-CN"/>
        </w:rPr>
      </w:pPr>
    </w:p>
    <w:p w14:paraId="1E5CB641">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2AE6D8C2">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eastAsia="zh-CN"/>
        </w:rPr>
      </w:pPr>
    </w:p>
    <w:p w14:paraId="68206B8D">
      <w:pPr>
        <w:keepNext w:val="0"/>
        <w:keepLines w:val="0"/>
        <w:pageBreakBefore w:val="0"/>
        <w:kinsoku/>
        <w:wordWrap w:val="0"/>
        <w:overflowPunct/>
        <w:topLinePunct w:val="0"/>
        <w:bidi w:val="0"/>
        <w:spacing w:line="360" w:lineRule="exact"/>
        <w:jc w:val="right"/>
        <w:rPr>
          <w:rFonts w:hint="eastAsia" w:ascii="宋体" w:hAnsi="宋体" w:eastAsia="宋体" w:cs="宋体"/>
          <w:b/>
          <w:bCs w:val="0"/>
          <w:color w:val="auto"/>
          <w:sz w:val="21"/>
          <w:szCs w:val="21"/>
          <w:highlight w:val="none"/>
          <w:lang w:val="en-US"/>
        </w:rPr>
      </w:pPr>
      <w:r>
        <w:rPr>
          <w:rFonts w:hint="eastAsia" w:ascii="宋体" w:hAnsi="宋体" w:eastAsia="宋体" w:cs="宋体"/>
          <w:b/>
          <w:bCs w:val="0"/>
          <w:color w:val="auto"/>
          <w:sz w:val="21"/>
          <w:szCs w:val="21"/>
          <w:highlight w:val="none"/>
          <w:lang w:eastAsia="zh-CN"/>
        </w:rPr>
        <w:t>中山市板芙医院</w:t>
      </w:r>
      <w:r>
        <w:rPr>
          <w:rFonts w:hint="eastAsia" w:ascii="宋体" w:hAnsi="宋体" w:eastAsia="宋体" w:cs="宋体"/>
          <w:b/>
          <w:bCs w:val="0"/>
          <w:color w:val="auto"/>
          <w:sz w:val="21"/>
          <w:szCs w:val="21"/>
          <w:highlight w:val="none"/>
          <w:lang w:val="en-US" w:eastAsia="zh-CN"/>
        </w:rPr>
        <w:t xml:space="preserve">  </w:t>
      </w:r>
    </w:p>
    <w:p w14:paraId="30661C8B">
      <w:pPr>
        <w:keepNext w:val="0"/>
        <w:keepLines w:val="0"/>
        <w:pageBreakBefore w:val="0"/>
        <w:tabs>
          <w:tab w:val="left" w:pos="567"/>
          <w:tab w:val="left" w:pos="1133"/>
        </w:tabs>
        <w:kinsoku/>
        <w:wordWrap/>
        <w:overflowPunct/>
        <w:topLinePunct w:val="0"/>
        <w:autoSpaceDE w:val="0"/>
        <w:autoSpaceDN w:val="0"/>
        <w:bidi w:val="0"/>
        <w:spacing w:line="360" w:lineRule="exact"/>
        <w:ind w:firstLine="8011" w:firstLineChars="3800"/>
        <w:jc w:val="both"/>
        <w:textAlignment w:val="bottom"/>
        <w:rPr>
          <w:rFonts w:hint="eastAsia" w:ascii="宋体" w:hAnsi="宋体" w:eastAsia="宋体" w:cs="宋体"/>
          <w:sz w:val="21"/>
          <w:szCs w:val="21"/>
          <w:highlight w:val="none"/>
        </w:rPr>
      </w:pPr>
      <w:r>
        <w:rPr>
          <w:rFonts w:hint="eastAsia" w:ascii="宋体" w:hAnsi="宋体" w:eastAsia="宋体" w:cs="宋体"/>
          <w:b/>
          <w:bCs w:val="0"/>
          <w:color w:val="auto"/>
          <w:sz w:val="21"/>
          <w:szCs w:val="21"/>
          <w:highlight w:val="none"/>
        </w:rPr>
        <w:t>202</w:t>
      </w:r>
      <w:r>
        <w:rPr>
          <w:rFonts w:hint="eastAsia" w:ascii="宋体" w:hAnsi="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年</w:t>
      </w:r>
      <w:r>
        <w:rPr>
          <w:rFonts w:hint="eastAsia" w:ascii="宋体" w:hAnsi="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月</w:t>
      </w:r>
      <w:r>
        <w:rPr>
          <w:rFonts w:hint="eastAsia" w:ascii="宋体" w:hAnsi="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日</w:t>
      </w:r>
      <w:r>
        <w:rPr>
          <w:rFonts w:hint="eastAsia" w:ascii="宋体" w:hAnsi="宋体" w:eastAsia="宋体" w:cs="宋体"/>
          <w:b/>
          <w:bCs w:val="0"/>
          <w:color w:val="auto"/>
          <w:sz w:val="21"/>
          <w:szCs w:val="21"/>
          <w:highlight w:val="none"/>
          <w:lang w:val="en-US" w:eastAsia="zh-CN"/>
        </w:rPr>
        <w:t xml:space="preserve"> </w:t>
      </w: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E2F80"/>
    <w:multiLevelType w:val="singleLevel"/>
    <w:tmpl w:val="BF8E2F80"/>
    <w:lvl w:ilvl="0" w:tentative="0">
      <w:start w:val="8"/>
      <w:numFmt w:val="chineseCounting"/>
      <w:suff w:val="nothing"/>
      <w:lvlText w:val="%1、"/>
      <w:lvlJc w:val="left"/>
      <w:rPr>
        <w:rFonts w:hint="eastAsia"/>
      </w:rPr>
    </w:lvl>
  </w:abstractNum>
  <w:abstractNum w:abstractNumId="1">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2">
    <w:nsid w:val="25AC67AC"/>
    <w:multiLevelType w:val="singleLevel"/>
    <w:tmpl w:val="25AC67AC"/>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95747D"/>
    <w:rsid w:val="00C87466"/>
    <w:rsid w:val="0120118E"/>
    <w:rsid w:val="013C7F41"/>
    <w:rsid w:val="020A5FE5"/>
    <w:rsid w:val="02AD51D0"/>
    <w:rsid w:val="04F64244"/>
    <w:rsid w:val="06EE5DDC"/>
    <w:rsid w:val="074F28CD"/>
    <w:rsid w:val="075A0C9C"/>
    <w:rsid w:val="075D0E74"/>
    <w:rsid w:val="088C3CD7"/>
    <w:rsid w:val="08B42162"/>
    <w:rsid w:val="0A552405"/>
    <w:rsid w:val="0B105E8F"/>
    <w:rsid w:val="0B5A71A0"/>
    <w:rsid w:val="0D303E96"/>
    <w:rsid w:val="0D5356A5"/>
    <w:rsid w:val="0F411E6B"/>
    <w:rsid w:val="10FD2C30"/>
    <w:rsid w:val="11F2677F"/>
    <w:rsid w:val="120A5047"/>
    <w:rsid w:val="16AF68E3"/>
    <w:rsid w:val="17AD667F"/>
    <w:rsid w:val="188E5849"/>
    <w:rsid w:val="19C23FFF"/>
    <w:rsid w:val="1A31607A"/>
    <w:rsid w:val="1AFC1E95"/>
    <w:rsid w:val="1B902BD0"/>
    <w:rsid w:val="1B9109CB"/>
    <w:rsid w:val="1D1A254A"/>
    <w:rsid w:val="1DAB3FD6"/>
    <w:rsid w:val="21316930"/>
    <w:rsid w:val="219C3D3D"/>
    <w:rsid w:val="21E441D2"/>
    <w:rsid w:val="241A2687"/>
    <w:rsid w:val="253202CD"/>
    <w:rsid w:val="25C162EA"/>
    <w:rsid w:val="2EC1207D"/>
    <w:rsid w:val="31732F11"/>
    <w:rsid w:val="32301FF4"/>
    <w:rsid w:val="32862630"/>
    <w:rsid w:val="33AD6EE0"/>
    <w:rsid w:val="34D81478"/>
    <w:rsid w:val="37F62AB4"/>
    <w:rsid w:val="3A822C5D"/>
    <w:rsid w:val="3AEB754D"/>
    <w:rsid w:val="3D083BF3"/>
    <w:rsid w:val="410F24F8"/>
    <w:rsid w:val="41B868E9"/>
    <w:rsid w:val="442C2A6A"/>
    <w:rsid w:val="488A14A0"/>
    <w:rsid w:val="49FB0CA3"/>
    <w:rsid w:val="4AE91161"/>
    <w:rsid w:val="4BBB7188"/>
    <w:rsid w:val="4DF65033"/>
    <w:rsid w:val="4F183C27"/>
    <w:rsid w:val="4FA2515B"/>
    <w:rsid w:val="52957C22"/>
    <w:rsid w:val="52D05187"/>
    <w:rsid w:val="532278A9"/>
    <w:rsid w:val="53BE1870"/>
    <w:rsid w:val="557E41CD"/>
    <w:rsid w:val="57A26C6F"/>
    <w:rsid w:val="57A47613"/>
    <w:rsid w:val="58715398"/>
    <w:rsid w:val="5966506E"/>
    <w:rsid w:val="59761BA9"/>
    <w:rsid w:val="59DE0D30"/>
    <w:rsid w:val="5A754D37"/>
    <w:rsid w:val="5B8247AD"/>
    <w:rsid w:val="5DDA7107"/>
    <w:rsid w:val="5E4647B1"/>
    <w:rsid w:val="5F066A82"/>
    <w:rsid w:val="5FA04E1F"/>
    <w:rsid w:val="5FC6594D"/>
    <w:rsid w:val="60DE206E"/>
    <w:rsid w:val="62503D99"/>
    <w:rsid w:val="631B1778"/>
    <w:rsid w:val="642705C1"/>
    <w:rsid w:val="676D3727"/>
    <w:rsid w:val="69D1193E"/>
    <w:rsid w:val="6AD80A32"/>
    <w:rsid w:val="6BE7241B"/>
    <w:rsid w:val="6FEE2274"/>
    <w:rsid w:val="70C54A6B"/>
    <w:rsid w:val="71885247"/>
    <w:rsid w:val="71B92164"/>
    <w:rsid w:val="721D6DAF"/>
    <w:rsid w:val="728C5C5D"/>
    <w:rsid w:val="729B2CA6"/>
    <w:rsid w:val="73314E5B"/>
    <w:rsid w:val="74C9421C"/>
    <w:rsid w:val="75F12DC4"/>
    <w:rsid w:val="78C30A2E"/>
    <w:rsid w:val="795559D4"/>
    <w:rsid w:val="7AB813BD"/>
    <w:rsid w:val="7BAA7F65"/>
    <w:rsid w:val="7CBB5AC3"/>
    <w:rsid w:val="7E540BF3"/>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2831</Words>
  <Characters>3005</Characters>
  <Lines>0</Lines>
  <Paragraphs>0</Paragraphs>
  <TotalTime>2</TotalTime>
  <ScaleCrop>false</ScaleCrop>
  <LinksUpToDate>false</LinksUpToDate>
  <CharactersWithSpaces>3016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2024-12-27T08:30:00Z</cp:lastPrinted>
  <dcterms:modified xsi:type="dcterms:W3CDTF">2025-07-02T02:18:00Z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