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bookmarkEnd w:id="0"/>
    <w:p w14:paraId="3B785B28">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中山市板芙医院中药熏蒸治疗仪采购项目（</w:t>
      </w:r>
      <w:r>
        <w:rPr>
          <w:rFonts w:hint="eastAsia" w:ascii="黑体" w:hAnsi="黑体" w:eastAsia="黑体" w:cs="黑体"/>
          <w:b/>
          <w:bCs w:val="0"/>
          <w:color w:val="auto"/>
          <w:highlight w:val="none"/>
          <w:lang w:val="en-US" w:eastAsia="zh-CN"/>
        </w:rPr>
        <w:t>第二次</w:t>
      </w:r>
      <w:r>
        <w:rPr>
          <w:rFonts w:hint="eastAsia" w:ascii="黑体" w:hAnsi="黑体" w:eastAsia="黑体" w:cs="黑体"/>
          <w:b/>
          <w:bCs w:val="0"/>
          <w:color w:val="auto"/>
          <w:highlight w:val="none"/>
          <w:lang w:eastAsia="zh-CN"/>
        </w:rPr>
        <w:t>）</w:t>
      </w: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中山市板芙医院现对中山市板芙医院中药熏蒸治疗仪采购项目（第二次）</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中山市板芙医院中药熏蒸治疗仪采购项目（第二次）</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4"/>
        <w:gridCol w:w="1861"/>
        <w:gridCol w:w="2054"/>
        <w:gridCol w:w="1957"/>
        <w:gridCol w:w="2064"/>
      </w:tblGrid>
      <w:tr w14:paraId="3EFB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971" w:type="pct"/>
            <w:noWrap w:val="0"/>
            <w:vAlign w:val="center"/>
          </w:tcPr>
          <w:p w14:paraId="7E2221A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44" w:type="pct"/>
            <w:noWrap w:val="0"/>
            <w:vAlign w:val="center"/>
          </w:tcPr>
          <w:p w14:paraId="3C8A818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1042" w:type="pct"/>
            <w:noWrap w:val="0"/>
            <w:vAlign w:val="center"/>
          </w:tcPr>
          <w:p w14:paraId="0DD7838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93" w:type="pct"/>
            <w:noWrap w:val="0"/>
            <w:vAlign w:val="center"/>
          </w:tcPr>
          <w:p w14:paraId="7130E00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1047" w:type="pct"/>
            <w:noWrap w:val="0"/>
            <w:vAlign w:val="center"/>
          </w:tcPr>
          <w:p w14:paraId="74A1D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2A4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971" w:type="pct"/>
            <w:noWrap w:val="0"/>
            <w:vAlign w:val="center"/>
          </w:tcPr>
          <w:p w14:paraId="2FDE427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中药熏蒸治疗仪</w:t>
            </w:r>
          </w:p>
        </w:tc>
        <w:tc>
          <w:tcPr>
            <w:tcW w:w="944" w:type="pct"/>
            <w:noWrap w:val="0"/>
            <w:vAlign w:val="center"/>
          </w:tcPr>
          <w:p w14:paraId="555EBC7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1042" w:type="pct"/>
            <w:noWrap w:val="0"/>
            <w:vAlign w:val="center"/>
          </w:tcPr>
          <w:p w14:paraId="602EF0C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93" w:type="pct"/>
            <w:noWrap w:val="0"/>
            <w:vAlign w:val="center"/>
          </w:tcPr>
          <w:p w14:paraId="252FAE7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047" w:type="pct"/>
            <w:noWrap w:val="0"/>
            <w:vAlign w:val="center"/>
          </w:tcPr>
          <w:p w14:paraId="0B5E851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63CC6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Times New Roman"/>
          <w:b/>
          <w:bCs w:val="0"/>
          <w:color w:val="auto"/>
          <w:szCs w:val="21"/>
          <w:highlight w:val="none"/>
          <w:lang w:val="en-US" w:eastAsia="zh-CN"/>
        </w:rPr>
      </w:pPr>
      <w:r>
        <w:rPr>
          <w:rFonts w:hint="eastAsia" w:ascii="宋体" w:hAnsi="宋体" w:cs="Times New Roman"/>
          <w:b/>
          <w:bCs w:val="0"/>
          <w:color w:val="auto"/>
          <w:szCs w:val="21"/>
          <w:highlight w:val="none"/>
          <w:lang w:val="en-US" w:eastAsia="zh-CN"/>
        </w:rPr>
        <w:t>四、采购需求书</w:t>
      </w:r>
    </w:p>
    <w:p w14:paraId="21ABB47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（一）用途</w:t>
      </w:r>
    </w:p>
    <w:p w14:paraId="5D844C1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1.主要用于颈肩腰腿疼、骨质增生、腰椎间盘突出症、坐骨神经痛、风湿的中药熏蒸治疗。</w:t>
      </w:r>
    </w:p>
    <w:p w14:paraId="572A716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（二）技术规格、参数及要求</w:t>
      </w:r>
    </w:p>
    <w:p w14:paraId="5FC9E47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1.外观结构：机电一体式设计，可移动式熏蒸治疗床</w:t>
      </w:r>
      <w:r>
        <w:rPr>
          <w:rFonts w:hint="eastAsia" w:ascii="宋体" w:hAnsi="宋体" w:cs="Times New Roman"/>
          <w:bCs/>
          <w:color w:val="auto"/>
          <w:szCs w:val="21"/>
          <w:highlight w:val="none"/>
          <w:lang w:val="en-US" w:eastAsia="zh-CN"/>
        </w:rPr>
        <w:t>。</w:t>
      </w:r>
    </w:p>
    <w:p w14:paraId="10925B5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2.操控及显示方式：智能控制系统，液晶显示屏可显示设定和实时治疗参数，床体具有三温区工作状态指示灯</w:t>
      </w:r>
      <w:r>
        <w:rPr>
          <w:rFonts w:hint="eastAsia" w:ascii="宋体" w:hAnsi="宋体" w:cs="Times New Roman"/>
          <w:bCs/>
          <w:color w:val="auto"/>
          <w:szCs w:val="21"/>
          <w:highlight w:val="none"/>
          <w:lang w:val="en-US" w:eastAsia="zh-CN"/>
        </w:rPr>
        <w:t>。</w:t>
      </w:r>
    </w:p>
    <w:p w14:paraId="53FF504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▲3.自动控温：使蒸汽温度维持在设定值附近，温度设定范围为35～45℃</w:t>
      </w:r>
      <w:r>
        <w:rPr>
          <w:rFonts w:hint="eastAsia" w:ascii="宋体" w:hAnsi="宋体" w:cs="Times New Roman"/>
          <w:bCs/>
          <w:color w:val="auto"/>
          <w:szCs w:val="21"/>
          <w:highlight w:val="none"/>
          <w:lang w:val="en-US" w:eastAsia="zh-CN"/>
        </w:rPr>
        <w:t>。</w:t>
      </w:r>
    </w:p>
    <w:p w14:paraId="7965BBD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4.预热功能：启动预热功能后，液温升高至90℃后维持10min，可用来煎药，10min后液温逐渐降至75℃并维持在75℃</w:t>
      </w:r>
      <w:r>
        <w:rPr>
          <w:rFonts w:hint="eastAsia" w:ascii="宋体" w:hAnsi="宋体" w:cs="Times New Roman"/>
          <w:bCs/>
          <w:color w:val="auto"/>
          <w:szCs w:val="21"/>
          <w:highlight w:val="none"/>
          <w:lang w:val="en-US" w:eastAsia="zh-CN"/>
        </w:rPr>
        <w:t>。</w:t>
      </w:r>
    </w:p>
    <w:p w14:paraId="0A03D53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5.自动控时：1～99min</w:t>
      </w:r>
      <w:r>
        <w:rPr>
          <w:rFonts w:hint="eastAsia" w:ascii="宋体" w:hAnsi="宋体" w:cs="Times New Roman"/>
          <w:bCs/>
          <w:color w:val="auto"/>
          <w:szCs w:val="21"/>
          <w:highlight w:val="none"/>
          <w:lang w:val="en-US" w:eastAsia="zh-CN"/>
        </w:rPr>
        <w:t>。</w:t>
      </w:r>
    </w:p>
    <w:p w14:paraId="0E6BF2B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6.仪器具有送风功能，可单独开启或关闭，使药物蒸汽能够均匀回流</w:t>
      </w:r>
      <w:r>
        <w:rPr>
          <w:rFonts w:hint="eastAsia" w:ascii="宋体" w:hAnsi="宋体" w:cs="Times New Roman"/>
          <w:bCs/>
          <w:color w:val="auto"/>
          <w:szCs w:val="21"/>
          <w:highlight w:val="none"/>
          <w:lang w:val="en-US" w:eastAsia="zh-CN"/>
        </w:rPr>
        <w:t>。</w:t>
      </w:r>
    </w:p>
    <w:p w14:paraId="6AE7476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★7.自动防止干烧：水槽液位低于最低液位，自动停止加热输出</w:t>
      </w:r>
      <w:r>
        <w:rPr>
          <w:rFonts w:hint="eastAsia" w:ascii="宋体" w:hAnsi="宋体" w:cs="Times New Roman"/>
          <w:bCs/>
          <w:color w:val="auto"/>
          <w:szCs w:val="21"/>
          <w:highlight w:val="none"/>
          <w:lang w:val="en-US" w:eastAsia="zh-CN"/>
        </w:rPr>
        <w:t>。</w:t>
      </w:r>
    </w:p>
    <w:p w14:paraId="222201B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★8.仪器具有超温保护功能</w:t>
      </w:r>
      <w:r>
        <w:rPr>
          <w:rFonts w:hint="eastAsia" w:ascii="宋体" w:hAnsi="宋体" w:cs="Times New Roman"/>
          <w:bCs/>
          <w:color w:val="auto"/>
          <w:szCs w:val="21"/>
          <w:highlight w:val="none"/>
          <w:lang w:val="en-US" w:eastAsia="zh-CN"/>
        </w:rPr>
        <w:t>。</w:t>
      </w:r>
    </w:p>
    <w:p w14:paraId="69401F5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9.熏蒸装置：可灵活选择局部熏蒸和全身组合熏蒸</w:t>
      </w:r>
      <w:r>
        <w:rPr>
          <w:rFonts w:hint="eastAsia" w:ascii="宋体" w:hAnsi="宋体" w:cs="Times New Roman"/>
          <w:bCs/>
          <w:color w:val="auto"/>
          <w:szCs w:val="21"/>
          <w:highlight w:val="none"/>
          <w:lang w:val="en-US" w:eastAsia="zh-CN"/>
        </w:rPr>
        <w:t>。</w:t>
      </w:r>
    </w:p>
    <w:p w14:paraId="0DB3B4C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▲10.加热方式：各温区具有独立的加热器，实时检测维持设定温度。可自由组合开启熏蒸治疗</w:t>
      </w:r>
      <w:r>
        <w:rPr>
          <w:rFonts w:hint="eastAsia" w:ascii="宋体" w:hAnsi="宋体" w:cs="Times New Roman"/>
          <w:bCs/>
          <w:color w:val="auto"/>
          <w:szCs w:val="21"/>
          <w:highlight w:val="none"/>
          <w:lang w:val="en-US" w:eastAsia="zh-CN"/>
        </w:rPr>
        <w:t>。</w:t>
      </w:r>
    </w:p>
    <w:p w14:paraId="0CE887D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11.灭菌方式：具有清洁功能和高温灭菌两种方式</w:t>
      </w:r>
      <w:r>
        <w:rPr>
          <w:rFonts w:hint="eastAsia" w:ascii="宋体" w:hAnsi="宋体" w:cs="Times New Roman"/>
          <w:bCs/>
          <w:color w:val="auto"/>
          <w:szCs w:val="21"/>
          <w:highlight w:val="none"/>
          <w:lang w:val="en-US" w:eastAsia="zh-CN"/>
        </w:rPr>
        <w:t>。</w:t>
      </w:r>
    </w:p>
    <w:p w14:paraId="2C82C64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w:t>
      </w:r>
      <w:r>
        <w:rPr>
          <w:rFonts w:hint="eastAsia" w:ascii="宋体" w:hAnsi="宋体" w:cs="Times New Roman"/>
          <w:bCs/>
          <w:color w:val="auto"/>
          <w:szCs w:val="21"/>
          <w:highlight w:val="none"/>
          <w:lang w:val="en-US" w:eastAsia="zh-CN"/>
        </w:rPr>
        <w:t>.</w:t>
      </w:r>
      <w:r>
        <w:rPr>
          <w:rFonts w:hint="eastAsia" w:ascii="宋体" w:hAnsi="宋体" w:eastAsia="宋体" w:cs="Times New Roman"/>
          <w:bCs/>
          <w:color w:val="auto"/>
          <w:szCs w:val="21"/>
          <w:highlight w:val="none"/>
          <w:lang w:val="en-US" w:eastAsia="zh-CN"/>
        </w:rPr>
        <w:t>紧急停止功能：按下紧急停止按钮，熏蒸机自动切断电源并发出警报声</w:t>
      </w:r>
      <w:r>
        <w:rPr>
          <w:rFonts w:hint="eastAsia" w:ascii="宋体" w:hAnsi="宋体" w:cs="Times New Roman"/>
          <w:bCs/>
          <w:color w:val="auto"/>
          <w:szCs w:val="21"/>
          <w:highlight w:val="none"/>
          <w:lang w:val="en-US" w:eastAsia="zh-CN"/>
        </w:rPr>
        <w:t>。</w:t>
      </w:r>
    </w:p>
    <w:p w14:paraId="569C1F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（三）商务要求</w:t>
      </w:r>
    </w:p>
    <w:p w14:paraId="3D8317D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7C4852B5">
      <w:pPr>
        <w:keepNext w:val="0"/>
        <w:keepLines w:val="0"/>
        <w:pageBreakBefore w:val="0"/>
        <w:kinsoku/>
        <w:overflowPunct/>
        <w:topLinePunct w:val="0"/>
        <w:bidi w:val="0"/>
        <w:spacing w:line="360" w:lineRule="exact"/>
        <w:ind w:firstLine="420" w:firstLineChars="200"/>
        <w:jc w:val="left"/>
        <w:rPr>
          <w:rFonts w:hint="default" w:ascii="宋体" w:hAnsi="宋体" w:eastAsia="宋体" w:cs="Times New Roman"/>
          <w:bCs/>
          <w:color w:val="auto"/>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sz w:val="21"/>
          <w:szCs w:val="21"/>
          <w:highlight w:val="none"/>
          <w:lang w:val="en-US" w:eastAsia="zh-CN"/>
        </w:rPr>
        <w:t>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AE1CF5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1.2合同签订后30天内交货，完成安装测试运行验收合格后支付合同金额的100%。</w:t>
      </w:r>
    </w:p>
    <w:p w14:paraId="7974328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2.验收标准和方法</w:t>
      </w:r>
    </w:p>
    <w:p w14:paraId="69F498A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★2.1设备生产日期在合同签订日期前6个月以内，设定使用年限不少于5年。</w:t>
      </w:r>
    </w:p>
    <w:p w14:paraId="290BCE2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验收时如发现所交付的设备有短装、次品、损坏或其它不符合本合同规定之情形者，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5供应商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71D2D4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4.保密要求：双方合作中涉及的所有业务、技术资料，均有责任对第三方保密。如其中一方擅自将涉及另一方的商业和技术秘密的资料透漏给第三方，则另一方将保留追究对方法律责任的权利。</w:t>
      </w:r>
    </w:p>
    <w:p w14:paraId="512248B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安装调试及技术服务(含培训)要求</w:t>
      </w:r>
      <w:r>
        <w:rPr>
          <w:rFonts w:hint="eastAsia" w:ascii="宋体" w:hAnsi="宋体" w:cs="宋体"/>
          <w:i w:val="0"/>
          <w:iCs w:val="0"/>
          <w:color w:val="auto"/>
          <w:kern w:val="0"/>
          <w:sz w:val="21"/>
          <w:szCs w:val="21"/>
          <w:highlight w:val="none"/>
          <w:u w:val="none"/>
          <w:lang w:val="en-US" w:eastAsia="zh-CN" w:bidi="ar"/>
        </w:rPr>
        <w:t>：供应商负责设备的安装，供应商</w:t>
      </w:r>
      <w:r>
        <w:rPr>
          <w:rFonts w:hint="eastAsia" w:ascii="宋体" w:hAnsi="宋体" w:eastAsia="宋体" w:cs="宋体"/>
          <w:i w:val="0"/>
          <w:iCs w:val="0"/>
          <w:color w:val="auto"/>
          <w:kern w:val="0"/>
          <w:sz w:val="21"/>
          <w:szCs w:val="21"/>
          <w:highlight w:val="none"/>
          <w:u w:val="none"/>
          <w:lang w:val="en-US" w:eastAsia="zh-CN" w:bidi="ar"/>
        </w:rPr>
        <w:t>负责对科室技术人员、操作人员进行免费业务培训，培训内容包括设备操作、设备维护、专业知识等，培训保证技术人员、操作人员能够掌握并独立操作为止。</w:t>
      </w:r>
    </w:p>
    <w:p w14:paraId="61C0B34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售后服务的要求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维修保修期满,</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终身提供维修服务，不收取上门费,只收取配件等相关成本费用。仪器出现问题，</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在接到</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电话通知后，立即提供电话指导,如无法远程解决，</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工程师在接到院方电话后24小时内提供解决方案,并负责设备的维修。</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C7C61D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37AE80B9">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1543E183">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须按“附件2参选文件格式（第二次</w:t>
      </w:r>
      <w:bookmarkStart w:id="1" w:name="_GoBack"/>
      <w:bookmarkEnd w:id="1"/>
      <w:r>
        <w:rPr>
          <w:rFonts w:hint="eastAsia" w:ascii="宋体" w:hAnsi="宋体" w:cs="宋体"/>
          <w:b/>
          <w:bCs/>
          <w:color w:val="auto"/>
          <w:sz w:val="21"/>
          <w:szCs w:val="21"/>
          <w:highlight w:val="none"/>
          <w:lang w:val="en-US" w:eastAsia="zh-CN"/>
        </w:rPr>
        <w:t>）”要求提供。</w:t>
      </w:r>
    </w:p>
    <w:p w14:paraId="4D0582B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75DDB5DC">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5A0CB952">
      <w:pPr>
        <w:keepNext w:val="0"/>
        <w:keepLines w:val="0"/>
        <w:pageBreakBefore w:val="0"/>
        <w:numPr>
          <w:ilvl w:val="0"/>
          <w:numId w:val="0"/>
        </w:numPr>
        <w:tabs>
          <w:tab w:val="left" w:pos="424"/>
        </w:tabs>
        <w:kinsoku/>
        <w:overflowPunct/>
        <w:topLinePunct w:val="0"/>
        <w:autoSpaceDE/>
        <w:autoSpaceDN/>
        <w:bidi w:val="0"/>
        <w:spacing w:line="360" w:lineRule="exact"/>
        <w:ind w:leftChars="0"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（第二次）”</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highlight w:val="none"/>
                <w:lang w:eastAsia="zh-CN"/>
              </w:rPr>
            </w:pPr>
            <w:r>
              <w:rPr>
                <w:rStyle w:val="18"/>
                <w:rFonts w:hint="eastAsia" w:ascii="宋体" w:hAnsi="宋体" w:eastAsia="宋体" w:cs="宋体"/>
                <w:color w:val="333333"/>
                <w:sz w:val="21"/>
                <w:szCs w:val="21"/>
                <w:highlight w:val="none"/>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32CF4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455EBC4C">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A03B18D">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”条款，共</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的响应程度进行评审：</w:t>
            </w:r>
          </w:p>
          <w:p w14:paraId="4F733465">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完全满足或</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rPr>
              <w:t>于用户需求书的要求，得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5A83A196">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②存在1项负偏离或未响应，扣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分，扣至0分止。</w:t>
            </w:r>
          </w:p>
          <w:p w14:paraId="34250E7B">
            <w:pPr>
              <w:rPr>
                <w:rFonts w:hint="eastAsia" w:ascii="宋体" w:hAnsi="宋体" w:eastAsia="宋体" w:cs="宋体"/>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39</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39</w:t>
            </w:r>
            <w:r>
              <w:rPr>
                <w:rFonts w:hint="eastAsia" w:ascii="宋体" w:hAnsi="宋体" w:eastAsia="宋体" w:cs="宋体"/>
                <w:color w:val="auto"/>
                <w:szCs w:val="21"/>
                <w:highlight w:val="none"/>
              </w:rPr>
              <w:t>=一般条款响应程度得分（按四舍五入保留两位）。）</w:t>
            </w:r>
          </w:p>
          <w:p w14:paraId="23EC72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4D1A8B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3A11FB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w:t>
            </w:r>
            <w:r>
              <w:rPr>
                <w:rFonts w:hint="eastAsia" w:ascii="宋体" w:hAnsi="宋体" w:cs="宋体"/>
                <w:sz w:val="21"/>
                <w:szCs w:val="21"/>
                <w:highlight w:val="none"/>
                <w:lang w:val="en-US" w:eastAsia="zh-CN"/>
              </w:rPr>
              <w:t>承诺提供的设备生产日期、设定的使用年限、</w:t>
            </w:r>
            <w:r>
              <w:rPr>
                <w:rFonts w:hint="eastAsia" w:ascii="宋体" w:hAnsi="宋体" w:eastAsia="宋体" w:cs="宋体"/>
                <w:sz w:val="21"/>
                <w:szCs w:val="21"/>
                <w:highlight w:val="none"/>
              </w:rPr>
              <w:t>维护保养、培训等内容）：</w:t>
            </w:r>
          </w:p>
          <w:p w14:paraId="672DD18E">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质量保证期、承诺提供的设备生产日期和使用年限均</w:t>
            </w:r>
            <w:r>
              <w:rPr>
                <w:rFonts w:hint="eastAsia" w:ascii="宋体" w:hAnsi="宋体" w:eastAsia="宋体" w:cs="宋体"/>
                <w:sz w:val="21"/>
                <w:szCs w:val="21"/>
                <w:highlight w:val="none"/>
              </w:rPr>
              <w:t>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7F3BA1E0">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val="en-US" w:eastAsia="zh-CN"/>
              </w:rPr>
              <w:t>质量保证期、承诺提供的设备生产日期和使用年限均</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2088171F">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w:t>
            </w:r>
            <w:r>
              <w:rPr>
                <w:rFonts w:hint="eastAsia" w:ascii="宋体" w:hAnsi="宋体" w:cs="宋体"/>
                <w:sz w:val="21"/>
                <w:szCs w:val="21"/>
                <w:highlight w:val="none"/>
                <w:lang w:val="en-US" w:eastAsia="zh-CN"/>
              </w:rPr>
              <w:t>质量保证期或承诺提供的设备生产日期或使用年限满足比选文件要求，</w:t>
            </w:r>
            <w:r>
              <w:rPr>
                <w:rFonts w:hint="eastAsia" w:ascii="宋体" w:hAnsi="宋体" w:eastAsia="宋体" w:cs="宋体"/>
                <w:sz w:val="21"/>
                <w:szCs w:val="21"/>
                <w:highlight w:val="none"/>
              </w:rPr>
              <w:t>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112CCFC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w:t>
            </w:r>
            <w:r>
              <w:rPr>
                <w:rFonts w:hint="eastAsia" w:ascii="宋体" w:hAnsi="宋体" w:cs="宋体"/>
                <w:sz w:val="21"/>
                <w:szCs w:val="21"/>
                <w:highlight w:val="none"/>
                <w:lang w:val="en-US" w:eastAsia="zh-CN"/>
              </w:rPr>
              <w:t>承诺提供的设备生产日期不能满足比选文件要求，</w:t>
            </w:r>
            <w:r>
              <w:rPr>
                <w:rFonts w:hint="eastAsia" w:ascii="宋体" w:hAnsi="宋体" w:eastAsia="宋体" w:cs="宋体"/>
                <w:sz w:val="21"/>
                <w:szCs w:val="21"/>
                <w:highlight w:val="none"/>
              </w:rPr>
              <w:t>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087D3B4F">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tc>
      </w:tr>
    </w:tbl>
    <w:p w14:paraId="017B83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补充事项</w:t>
      </w:r>
    </w:p>
    <w:p w14:paraId="646235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符合资格条件的参选人只有两家或对参选文件作实质响应的参选人只有两家时，评标小组继续按照本次公告的评审方法对参选人进行详细评审，确定拟中选单位（如经评审符合资格条件或对参选文件作实质响应的参选人剩下一家，则确定其为拟中选单位）；</w:t>
      </w:r>
    </w:p>
    <w:p w14:paraId="72E7A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（二）当在参选截止时间前提交参选文件的参选人只有一家，经评审符合资格条件且已对参选文件作实质响应的，则确定其为拟中选单位。</w:t>
      </w:r>
    </w:p>
    <w:p w14:paraId="01D64E7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采购人将不承担供应商准备响应文件和递交响应文件以及参加本次比选活动所发生的任何成本或费用。</w:t>
      </w:r>
    </w:p>
    <w:p w14:paraId="740851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27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74F28CD"/>
    <w:rsid w:val="075A0C9C"/>
    <w:rsid w:val="075D0E74"/>
    <w:rsid w:val="088C3CD7"/>
    <w:rsid w:val="08B42162"/>
    <w:rsid w:val="0A552405"/>
    <w:rsid w:val="0B105E8F"/>
    <w:rsid w:val="0B5A71A0"/>
    <w:rsid w:val="0D303E96"/>
    <w:rsid w:val="0D5356A5"/>
    <w:rsid w:val="0F411E6B"/>
    <w:rsid w:val="0FF15D91"/>
    <w:rsid w:val="101878F2"/>
    <w:rsid w:val="10FD2C30"/>
    <w:rsid w:val="11931C5D"/>
    <w:rsid w:val="11F2677F"/>
    <w:rsid w:val="120A5047"/>
    <w:rsid w:val="13F16B18"/>
    <w:rsid w:val="16AF68E3"/>
    <w:rsid w:val="17AD667F"/>
    <w:rsid w:val="188E5849"/>
    <w:rsid w:val="19C23FFF"/>
    <w:rsid w:val="1B902BD0"/>
    <w:rsid w:val="1D1A254A"/>
    <w:rsid w:val="1DAB3FD6"/>
    <w:rsid w:val="21316930"/>
    <w:rsid w:val="219C3D3D"/>
    <w:rsid w:val="21E441D2"/>
    <w:rsid w:val="239120C8"/>
    <w:rsid w:val="241A2687"/>
    <w:rsid w:val="243A62A2"/>
    <w:rsid w:val="253202CD"/>
    <w:rsid w:val="25CB3553"/>
    <w:rsid w:val="302722B4"/>
    <w:rsid w:val="32301FF4"/>
    <w:rsid w:val="32862630"/>
    <w:rsid w:val="33AD6EE0"/>
    <w:rsid w:val="34D81478"/>
    <w:rsid w:val="384139A0"/>
    <w:rsid w:val="3A822C5D"/>
    <w:rsid w:val="3AEB754D"/>
    <w:rsid w:val="410F24F8"/>
    <w:rsid w:val="414E0A69"/>
    <w:rsid w:val="41B868E9"/>
    <w:rsid w:val="4739736F"/>
    <w:rsid w:val="488A14A0"/>
    <w:rsid w:val="49FB0CA3"/>
    <w:rsid w:val="4AE91161"/>
    <w:rsid w:val="4BBB7188"/>
    <w:rsid w:val="4E4F26FC"/>
    <w:rsid w:val="4F183C27"/>
    <w:rsid w:val="4FA2515B"/>
    <w:rsid w:val="51076855"/>
    <w:rsid w:val="52D05187"/>
    <w:rsid w:val="53BE1870"/>
    <w:rsid w:val="545D4C1A"/>
    <w:rsid w:val="557E41CD"/>
    <w:rsid w:val="57A26C6F"/>
    <w:rsid w:val="57A47613"/>
    <w:rsid w:val="5887586F"/>
    <w:rsid w:val="5966506E"/>
    <w:rsid w:val="59761BA9"/>
    <w:rsid w:val="5B08179E"/>
    <w:rsid w:val="5B8247AD"/>
    <w:rsid w:val="5DDA7107"/>
    <w:rsid w:val="5E4647B1"/>
    <w:rsid w:val="5FA04E1F"/>
    <w:rsid w:val="5FC6594D"/>
    <w:rsid w:val="62503D99"/>
    <w:rsid w:val="631B1778"/>
    <w:rsid w:val="632D0A7A"/>
    <w:rsid w:val="642705C1"/>
    <w:rsid w:val="666F26A2"/>
    <w:rsid w:val="676D3727"/>
    <w:rsid w:val="69D1193E"/>
    <w:rsid w:val="6AD80A32"/>
    <w:rsid w:val="6D203DC9"/>
    <w:rsid w:val="70C54A6B"/>
    <w:rsid w:val="71B92164"/>
    <w:rsid w:val="721D6DAF"/>
    <w:rsid w:val="728C5C5D"/>
    <w:rsid w:val="729B2CA6"/>
    <w:rsid w:val="73314E5B"/>
    <w:rsid w:val="74C9421C"/>
    <w:rsid w:val="75F12DC4"/>
    <w:rsid w:val="78C30A2E"/>
    <w:rsid w:val="79504B83"/>
    <w:rsid w:val="795559D4"/>
    <w:rsid w:val="7BAA7F65"/>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3006</Words>
  <Characters>3175</Characters>
  <Lines>0</Lines>
  <Paragraphs>0</Paragraphs>
  <TotalTime>2</TotalTime>
  <ScaleCrop>false</ScaleCrop>
  <LinksUpToDate>false</LinksUpToDate>
  <CharactersWithSpaces>3186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2025-06-25T07:25:00Z</cp:lastPrinted>
  <dcterms:modified xsi:type="dcterms:W3CDTF">2025-06-25T08:19:43Z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