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4"/>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4"/>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医用储血冰箱</w:t>
      </w:r>
      <w:r>
        <w:rPr>
          <w:rFonts w:hint="eastAsia" w:ascii="黑体" w:hAnsi="黑体" w:eastAsia="黑体" w:cs="黑体"/>
          <w:b/>
          <w:bCs w:val="0"/>
          <w:color w:val="auto"/>
          <w:highlight w:val="none"/>
          <w:lang w:eastAsia="zh-CN"/>
        </w:rPr>
        <w:t>采购项目</w:t>
      </w:r>
      <w:bookmarkEnd w:id="0"/>
      <w:r>
        <w:rPr>
          <w:rFonts w:hint="eastAsia" w:ascii="黑体" w:hAnsi="黑体" w:eastAsia="黑体" w:cs="黑体"/>
          <w:b/>
          <w:bCs w:val="0"/>
          <w:color w:val="auto"/>
          <w:highlight w:val="none"/>
          <w:lang w:eastAsia="zh-CN"/>
        </w:rPr>
        <w:t>（</w:t>
      </w:r>
      <w:r>
        <w:rPr>
          <w:rFonts w:hint="eastAsia" w:ascii="黑体" w:hAnsi="黑体" w:eastAsia="黑体" w:cs="黑体"/>
          <w:b/>
          <w:bCs w:val="0"/>
          <w:color w:val="auto"/>
          <w:highlight w:val="none"/>
          <w:lang w:val="en-US" w:eastAsia="zh-CN"/>
        </w:rPr>
        <w:t>第二次</w:t>
      </w:r>
      <w:r>
        <w:rPr>
          <w:rFonts w:hint="eastAsia" w:ascii="黑体" w:hAnsi="黑体" w:eastAsia="黑体" w:cs="黑体"/>
          <w:b/>
          <w:bCs w:val="0"/>
          <w:color w:val="auto"/>
          <w:highlight w:val="none"/>
          <w:lang w:eastAsia="zh-CN"/>
        </w:rPr>
        <w:t>）</w:t>
      </w:r>
    </w:p>
    <w:p w14:paraId="4B6C7B1C">
      <w:pPr>
        <w:pStyle w:val="4"/>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医用储血冰箱</w:t>
      </w:r>
      <w:r>
        <w:rPr>
          <w:rFonts w:hint="eastAsia" w:ascii="宋体" w:hAnsi="宋体" w:eastAsia="宋体" w:cs="宋体"/>
          <w:bCs/>
          <w:color w:val="auto"/>
          <w:sz w:val="21"/>
          <w:szCs w:val="21"/>
          <w:highlight w:val="none"/>
          <w:lang w:eastAsia="zh-CN"/>
        </w:rPr>
        <w:t>采购项目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第二次</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医用储血冰箱</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第二次</w:t>
      </w:r>
      <w:r>
        <w:rPr>
          <w:rFonts w:hint="eastAsia" w:ascii="宋体" w:hAnsi="宋体" w:cs="宋体"/>
          <w:color w:val="auto"/>
          <w:sz w:val="21"/>
          <w:szCs w:val="21"/>
          <w:highlight w:val="none"/>
          <w:lang w:eastAsia="zh-CN"/>
        </w:rPr>
        <w:t>）</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23,000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6"/>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4"/>
        <w:gridCol w:w="1861"/>
        <w:gridCol w:w="2054"/>
        <w:gridCol w:w="1957"/>
        <w:gridCol w:w="2064"/>
      </w:tblGrid>
      <w:tr w14:paraId="3EFB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971" w:type="pct"/>
            <w:noWrap w:val="0"/>
            <w:vAlign w:val="center"/>
          </w:tcPr>
          <w:p w14:paraId="7E2221A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44" w:type="pct"/>
            <w:noWrap w:val="0"/>
            <w:vAlign w:val="center"/>
          </w:tcPr>
          <w:p w14:paraId="3C8A818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1042" w:type="pct"/>
            <w:noWrap w:val="0"/>
            <w:vAlign w:val="center"/>
          </w:tcPr>
          <w:p w14:paraId="0DD7838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93" w:type="pct"/>
            <w:noWrap w:val="0"/>
            <w:vAlign w:val="center"/>
          </w:tcPr>
          <w:p w14:paraId="7130E00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1047" w:type="pct"/>
            <w:noWrap w:val="0"/>
            <w:vAlign w:val="center"/>
          </w:tcPr>
          <w:p w14:paraId="74A1D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2A4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971" w:type="pct"/>
            <w:noWrap w:val="0"/>
            <w:vAlign w:val="center"/>
          </w:tcPr>
          <w:p w14:paraId="2FDE427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医用储血冰箱</w:t>
            </w:r>
          </w:p>
        </w:tc>
        <w:tc>
          <w:tcPr>
            <w:tcW w:w="944" w:type="pct"/>
            <w:noWrap w:val="0"/>
            <w:vAlign w:val="center"/>
          </w:tcPr>
          <w:p w14:paraId="555EBC7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1042" w:type="pct"/>
            <w:noWrap w:val="0"/>
            <w:vAlign w:val="center"/>
          </w:tcPr>
          <w:p w14:paraId="602EF0C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93" w:type="pct"/>
            <w:noWrap w:val="0"/>
            <w:vAlign w:val="center"/>
          </w:tcPr>
          <w:p w14:paraId="252FAE7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047" w:type="pct"/>
            <w:noWrap w:val="0"/>
            <w:vAlign w:val="center"/>
          </w:tcPr>
          <w:p w14:paraId="0B5E851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21ABB47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5D844C14">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1.主要用于输血科血液存储。</w:t>
      </w:r>
    </w:p>
    <w:p w14:paraId="391473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02296FD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1.有效容积</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160L。</w:t>
      </w:r>
    </w:p>
    <w:p w14:paraId="33345AC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▲2.微电脑精准控制，温度设置范围2-6℃，温度设置精度为0.1℃，显示精度为0.1℃。测试孔</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1个。</w:t>
      </w:r>
    </w:p>
    <w:p w14:paraId="6CE84DC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3.采用双重微电脑智能保护，有效保护血液存储安全。</w:t>
      </w:r>
    </w:p>
    <w:p w14:paraId="6573BD1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4.内胆材质使用304不锈钢，耐脏易清洁、防腐蚀。</w:t>
      </w:r>
    </w:p>
    <w:p w14:paraId="2D676FC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5.双层钢化玻璃门。</w:t>
      </w:r>
    </w:p>
    <w:p w14:paraId="61DD7F3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6.独立门锁，具有自关闭功能，防止误开。</w:t>
      </w:r>
    </w:p>
    <w:p w14:paraId="6179571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▲7.具有最少4个可调节分区层架。</w:t>
      </w:r>
    </w:p>
    <w:p w14:paraId="376230A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8.温度传感器</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6个，自动化霜功能。</w:t>
      </w:r>
    </w:p>
    <w:p w14:paraId="725C633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9.多重保护功能：压缩机开机延时启动保护、压缩机停机间隔保护、控制器密码保护，防止参数随意调整、断电记忆保护、宽电压保护、防高温保护、防低温保护等。</w:t>
      </w:r>
    </w:p>
    <w:p w14:paraId="21263B2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highlight w:val="none"/>
          <w:lang w:eastAsia="zh-CN"/>
        </w:rPr>
      </w:pPr>
      <w:r>
        <w:rPr>
          <w:rFonts w:hint="eastAsia" w:ascii="宋体" w:hAnsi="宋体" w:cs="宋体"/>
          <w:color w:val="auto"/>
          <w:sz w:val="21"/>
          <w:szCs w:val="21"/>
          <w:highlight w:val="none"/>
          <w:lang w:val="en-US" w:eastAsia="zh-CN"/>
        </w:rPr>
        <w:t>10.箱体配有热敏打印机，可自动实时打印箱内温度，打印时间间隔可调。</w:t>
      </w:r>
    </w:p>
    <w:p w14:paraId="418222A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506B8F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541AF88E">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cs="Times New Roman"/>
          <w:bCs/>
          <w:color w:val="auto"/>
          <w:szCs w:val="21"/>
          <w:highlight w:val="none"/>
          <w:lang w:val="en-US" w:eastAsia="zh-CN"/>
        </w:rPr>
        <w:t>1.1</w:t>
      </w:r>
      <w:r>
        <w:rPr>
          <w:rFonts w:hint="eastAsia" w:ascii="宋体" w:hAnsi="宋体" w:cs="宋体"/>
          <w:color w:val="auto"/>
          <w:sz w:val="21"/>
          <w:szCs w:val="21"/>
          <w:highlight w:val="none"/>
          <w:lang w:val="en-US" w:eastAsia="zh-CN"/>
        </w:rPr>
        <w:t>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3C5B73B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1.2合同签订后30天内交货，完成安装测试运行验收合格</w:t>
      </w:r>
      <w:r>
        <w:rPr>
          <w:rFonts w:hint="eastAsia" w:ascii="宋体" w:hAnsi="宋体" w:cs="Times New Roman"/>
          <w:bCs/>
          <w:color w:val="auto"/>
          <w:szCs w:val="21"/>
          <w:highlight w:val="none"/>
          <w:lang w:val="en-US" w:eastAsia="zh-CN"/>
        </w:rPr>
        <w:t>后</w:t>
      </w:r>
      <w:bookmarkStart w:id="1" w:name="_GoBack"/>
      <w:bookmarkEnd w:id="1"/>
      <w:r>
        <w:rPr>
          <w:rFonts w:hint="eastAsia" w:ascii="宋体" w:hAnsi="宋体" w:eastAsia="宋体" w:cs="Times New Roman"/>
          <w:bCs/>
          <w:color w:val="auto"/>
          <w:szCs w:val="21"/>
          <w:highlight w:val="none"/>
          <w:lang w:val="en-US" w:eastAsia="zh-CN"/>
        </w:rPr>
        <w:t>支付合同金额的100%。</w:t>
      </w:r>
    </w:p>
    <w:p w14:paraId="7974328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2.验收标准和方法</w:t>
      </w:r>
    </w:p>
    <w:p w14:paraId="0515693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2.1设备生产日期在合同签订日期前6个月以内。</w:t>
      </w:r>
    </w:p>
    <w:p w14:paraId="290BCE2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2.3验收时如发现所交付的设备有短装、次品、损坏或其它不符合本合同规定之情形者，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质量保证期：整机质保期不少于2年。</w:t>
      </w:r>
    </w:p>
    <w:p w14:paraId="71D2D4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4.保密要求：双方合作中涉及的所有业务、技术资料，均有责任对第三方保密。如其中一方擅自将涉及另一方的商业和技术秘密的资料透漏给第三方，则另一方将保留追究对方法律责任的权利。</w:t>
      </w:r>
    </w:p>
    <w:p w14:paraId="512248B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安装调试及技术服务(含培训)要求</w:t>
      </w:r>
      <w:r>
        <w:rPr>
          <w:rFonts w:hint="eastAsia" w:ascii="宋体" w:hAnsi="宋体" w:cs="宋体"/>
          <w:i w:val="0"/>
          <w:iCs w:val="0"/>
          <w:color w:val="auto"/>
          <w:kern w:val="0"/>
          <w:sz w:val="21"/>
          <w:szCs w:val="21"/>
          <w:highlight w:val="none"/>
          <w:u w:val="none"/>
          <w:lang w:val="en-US" w:eastAsia="zh-CN" w:bidi="ar"/>
        </w:rPr>
        <w:t>：供应商负责设备的安装，供应商</w:t>
      </w:r>
      <w:r>
        <w:rPr>
          <w:rFonts w:hint="eastAsia" w:ascii="宋体" w:hAnsi="宋体" w:eastAsia="宋体" w:cs="宋体"/>
          <w:i w:val="0"/>
          <w:iCs w:val="0"/>
          <w:color w:val="auto"/>
          <w:kern w:val="0"/>
          <w:sz w:val="21"/>
          <w:szCs w:val="21"/>
          <w:highlight w:val="none"/>
          <w:u w:val="none"/>
          <w:lang w:val="en-US" w:eastAsia="zh-CN" w:bidi="ar"/>
        </w:rPr>
        <w:t>负责对科室技术人员、操作人员进行免费业务培训，培训内容包括设备操作、设备维护、专业知识等，培训保证技术人员、操作人员能够掌握并独立操作为止。</w:t>
      </w:r>
    </w:p>
    <w:p w14:paraId="61C0B34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售后服务的要求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维修保修期满,</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终身提供维修服务，不收取上门费,只收取配件等相关成本费用。仪器出现问题，</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在接到</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电话通知后，立即提供电话指导,如无法远程解决，</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工程师在接到院方电话后24小时内提供解决方案,并负责设备的维修。</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C7C61D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37AE80B9">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须按“附件2参选文件格式（第二次）”要求提供。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p>
    <w:p w14:paraId="470F9077">
      <w:pPr>
        <w:pStyle w:val="10"/>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10"/>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（第二次）”</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10"/>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6"/>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rPr>
            </w:pPr>
            <w:r>
              <w:rPr>
                <w:rStyle w:val="19"/>
                <w:rFonts w:hint="eastAsia" w:ascii="宋体" w:hAnsi="宋体" w:eastAsia="宋体" w:cs="宋体"/>
                <w:color w:val="333333"/>
                <w:sz w:val="21"/>
                <w:szCs w:val="21"/>
                <w:highlight w:val="none"/>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9"/>
                <w:rFonts w:hint="eastAsia" w:ascii="宋体" w:hAnsi="宋体" w:eastAsia="宋体" w:cs="宋体"/>
                <w:color w:val="333333"/>
                <w:sz w:val="21"/>
                <w:szCs w:val="21"/>
                <w:highlight w:val="none"/>
                <w:lang w:eastAsia="zh-CN"/>
              </w:rPr>
            </w:pPr>
            <w:r>
              <w:rPr>
                <w:rStyle w:val="19"/>
                <w:rFonts w:hint="eastAsia" w:ascii="宋体" w:hAnsi="宋体" w:eastAsia="宋体" w:cs="宋体"/>
                <w:color w:val="333333"/>
                <w:sz w:val="21"/>
                <w:szCs w:val="21"/>
                <w:highlight w:val="none"/>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highlight w:val="none"/>
              </w:rPr>
            </w:pPr>
            <w:r>
              <w:rPr>
                <w:rStyle w:val="19"/>
                <w:rFonts w:hint="eastAsia" w:ascii="宋体" w:hAnsi="宋体" w:eastAsia="宋体" w:cs="宋体"/>
                <w:color w:val="333333"/>
                <w:sz w:val="21"/>
                <w:szCs w:val="21"/>
                <w:highlight w:val="none"/>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24D6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73920675">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A03B18D">
            <w:pPr>
              <w:pStyle w:val="14"/>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”条款，共</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的响应程度进行评审：</w:t>
            </w:r>
          </w:p>
          <w:p w14:paraId="4F733465">
            <w:pPr>
              <w:pStyle w:val="14"/>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完全满足或</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rPr>
              <w:t>于用户需求书的要求，得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5A83A196">
            <w:pPr>
              <w:pStyle w:val="14"/>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②存在1项负偏离或未响应，扣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分，扣至0分止。</w:t>
            </w:r>
          </w:p>
          <w:p w14:paraId="540355E5">
            <w:pPr>
              <w:rPr>
                <w:rFonts w:hint="eastAsia" w:ascii="宋体" w:hAnsi="宋体" w:eastAsia="宋体" w:cs="宋体"/>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39</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39</w:t>
            </w:r>
            <w:r>
              <w:rPr>
                <w:rFonts w:hint="eastAsia" w:ascii="宋体" w:hAnsi="宋体" w:eastAsia="宋体" w:cs="宋体"/>
                <w:color w:val="auto"/>
                <w:szCs w:val="21"/>
                <w:highlight w:val="none"/>
              </w:rPr>
              <w:t>=一般条款响应程度得分（按四舍五入保留两位）。）</w:t>
            </w:r>
          </w:p>
          <w:p w14:paraId="2ECA49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总体实施方案 </w:t>
            </w:r>
          </w:p>
          <w:p w14:paraId="4D1A8B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7A949E9">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根据供应商的售后服务承诺方案进行评审（包括安装调试、验收方案、质保期、维护保养、培训等内容）：</w:t>
            </w:r>
          </w:p>
          <w:p w14:paraId="05F0CD2D">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1A1AE54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37373C42">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63F4B36B">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6A528776">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tc>
      </w:tr>
    </w:tbl>
    <w:p w14:paraId="017B83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补充事项</w:t>
      </w:r>
    </w:p>
    <w:p w14:paraId="646235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符合资格条件的参选人只有两家或对参选文件作实质响应的参选人只有两家时，评标小组继续按照本次公告的评审方法对参选人进行详细评审，确定拟中选单位（如经评审符合资格条件或对参选文件作实质响应的参选人剩下一家，则确定其为拟中选单位）；</w:t>
      </w:r>
    </w:p>
    <w:p w14:paraId="72E7A2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（二）当在参选截止时间前提交参选文件的参选人只有一家，经评审符合资格条件且已对参选文件作实质响应的，则确定其为拟中选单位。</w:t>
      </w:r>
    </w:p>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采购人将不承担供应商准备响应文件和递交响应文件以及参加本次比选活动所发生的任何成本或费用。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27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74F28CD"/>
    <w:rsid w:val="075A0C9C"/>
    <w:rsid w:val="075D0E74"/>
    <w:rsid w:val="088C3CD7"/>
    <w:rsid w:val="08B42162"/>
    <w:rsid w:val="0A552405"/>
    <w:rsid w:val="0B105E8F"/>
    <w:rsid w:val="0B5A71A0"/>
    <w:rsid w:val="0B816D4C"/>
    <w:rsid w:val="0D303E96"/>
    <w:rsid w:val="0D5356A5"/>
    <w:rsid w:val="0F411E6B"/>
    <w:rsid w:val="10FD2C30"/>
    <w:rsid w:val="11F2677F"/>
    <w:rsid w:val="11FD4E35"/>
    <w:rsid w:val="120A5047"/>
    <w:rsid w:val="14795A57"/>
    <w:rsid w:val="16AF68E3"/>
    <w:rsid w:val="17AD667F"/>
    <w:rsid w:val="19C23FFF"/>
    <w:rsid w:val="1B902BD0"/>
    <w:rsid w:val="1D1A254A"/>
    <w:rsid w:val="1DAB3FD6"/>
    <w:rsid w:val="20962188"/>
    <w:rsid w:val="21316930"/>
    <w:rsid w:val="219C3D3D"/>
    <w:rsid w:val="21E441D2"/>
    <w:rsid w:val="241A2687"/>
    <w:rsid w:val="253202CD"/>
    <w:rsid w:val="29B10698"/>
    <w:rsid w:val="2CB27DEF"/>
    <w:rsid w:val="2F942FD1"/>
    <w:rsid w:val="32301FF4"/>
    <w:rsid w:val="32862630"/>
    <w:rsid w:val="33AD6EE0"/>
    <w:rsid w:val="34D81478"/>
    <w:rsid w:val="34E52B93"/>
    <w:rsid w:val="3A822C5D"/>
    <w:rsid w:val="3AEB754D"/>
    <w:rsid w:val="3C11515E"/>
    <w:rsid w:val="3D064E51"/>
    <w:rsid w:val="410F24F8"/>
    <w:rsid w:val="41B868E9"/>
    <w:rsid w:val="47977F8E"/>
    <w:rsid w:val="488A14A0"/>
    <w:rsid w:val="490D6F54"/>
    <w:rsid w:val="49FB0CA3"/>
    <w:rsid w:val="4AE91161"/>
    <w:rsid w:val="4F183C27"/>
    <w:rsid w:val="4FA2515B"/>
    <w:rsid w:val="52D05187"/>
    <w:rsid w:val="53BE1870"/>
    <w:rsid w:val="557E41CD"/>
    <w:rsid w:val="57A26C6F"/>
    <w:rsid w:val="57A47613"/>
    <w:rsid w:val="5966506E"/>
    <w:rsid w:val="59761BA9"/>
    <w:rsid w:val="5B8247AD"/>
    <w:rsid w:val="5C696C2C"/>
    <w:rsid w:val="5DDA7107"/>
    <w:rsid w:val="5E4647B1"/>
    <w:rsid w:val="5FA04E1F"/>
    <w:rsid w:val="5FC6594D"/>
    <w:rsid w:val="60E05B3D"/>
    <w:rsid w:val="62383D42"/>
    <w:rsid w:val="62503D99"/>
    <w:rsid w:val="631B1778"/>
    <w:rsid w:val="642705C1"/>
    <w:rsid w:val="657038D9"/>
    <w:rsid w:val="65A8696A"/>
    <w:rsid w:val="66895538"/>
    <w:rsid w:val="676D3727"/>
    <w:rsid w:val="68CB3F52"/>
    <w:rsid w:val="69D1193E"/>
    <w:rsid w:val="6AD80A32"/>
    <w:rsid w:val="6E863421"/>
    <w:rsid w:val="70C54A6B"/>
    <w:rsid w:val="71B92164"/>
    <w:rsid w:val="721D6DAF"/>
    <w:rsid w:val="728C5C5D"/>
    <w:rsid w:val="729B2CA6"/>
    <w:rsid w:val="73314E5B"/>
    <w:rsid w:val="74C9421C"/>
    <w:rsid w:val="764A4B43"/>
    <w:rsid w:val="78C30A2E"/>
    <w:rsid w:val="795559D4"/>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5">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2457"/>
    <w:pPr>
      <w:spacing w:before="0" w:after="120" w:line="240" w:lineRule="auto"/>
      <w:ind w:left="0" w:right="0" w:firstLine="100"/>
    </w:pPr>
    <w:rPr>
      <w:szCs w:val="24"/>
    </w:rPr>
  </w:style>
  <w:style w:type="paragraph" w:styleId="3">
    <w:name w:val="Body Text"/>
    <w:basedOn w:val="1"/>
    <w:qFormat/>
    <w:uiPriority w:val="0"/>
    <w:pPr>
      <w:widowControl w:val="0"/>
      <w:jc w:val="both"/>
    </w:pPr>
    <w:rPr>
      <w:kern w:val="2"/>
      <w:sz w:val="28"/>
    </w:r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annotation text"/>
    <w:basedOn w:val="1"/>
    <w:qFormat/>
    <w:uiPriority w:val="0"/>
    <w:pPr>
      <w:jc w:val="left"/>
    </w:pPr>
  </w:style>
  <w:style w:type="paragraph" w:styleId="9">
    <w:name w:val="List 2"/>
    <w:basedOn w:val="1"/>
    <w:qFormat/>
    <w:uiPriority w:val="0"/>
    <w:pPr>
      <w:ind w:left="100" w:leftChars="200" w:hanging="200" w:hangingChars="200"/>
    </w:pPr>
  </w:style>
  <w:style w:type="paragraph" w:styleId="10">
    <w:name w:val="toc 5"/>
    <w:basedOn w:val="1"/>
    <w:next w:val="1"/>
    <w:qFormat/>
    <w:uiPriority w:val="39"/>
    <w:pPr>
      <w:widowControl w:val="0"/>
      <w:ind w:left="1680"/>
      <w:jc w:val="both"/>
    </w:pPr>
    <w:rPr>
      <w:kern w:val="2"/>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index 1"/>
    <w:basedOn w:val="1"/>
    <w:next w:val="1"/>
    <w:unhideWhenUsed/>
    <w:qFormat/>
    <w:uiPriority w:val="0"/>
  </w:style>
  <w:style w:type="paragraph" w:styleId="15">
    <w:name w:val="Title"/>
    <w:basedOn w:val="9"/>
    <w:next w:val="1"/>
    <w:qFormat/>
    <w:uiPriority w:val="0"/>
    <w:pPr>
      <w:widowControl w:val="0"/>
      <w:spacing w:before="240" w:after="60"/>
      <w:jc w:val="center"/>
      <w:outlineLvl w:val="0"/>
    </w:pPr>
    <w:rPr>
      <w:rFonts w:ascii="Cambria" w:hAnsi="Cambria"/>
      <w:b/>
      <w:bCs/>
      <w:kern w:val="2"/>
      <w:sz w:val="32"/>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2875</Words>
  <Characters>3034</Characters>
  <Lines>0</Lines>
  <Paragraphs>0</Paragraphs>
  <TotalTime>3</TotalTime>
  <ScaleCrop>false</ScaleCrop>
  <LinksUpToDate>false</LinksUpToDate>
  <CharactersWithSpaces>3047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2025-06-25T08:40:42Z</cp:lastPrinted>
  <dcterms:modified xsi:type="dcterms:W3CDTF">2025-06-25T08:43:12Z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E377FA7900AB4EE69E582E50B00AC4CE_13</vt:lpwstr>
  </property>
  <property fmtid="{D5CDD505-2E9C-101B-9397-08002B2CF9AE}" pid="4" name="KSOTemplateDocerSaveRecord">
    <vt:lpwstr>eyJoZGlkIjoiNmM3OTI1NDk3M2U1M2M4YzY1ZjFmOTc5ZWE5MzZiYzUiLCJ1c2VySWQiOiIzMzc0NDkxODMifQ==</vt:lpwstr>
  </property>
</Properties>
</file>