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bookmarkEnd w:id="0"/>
    <w:p w14:paraId="3B785B28">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中山市板芙医院微波治疗仪采购项目（</w:t>
      </w:r>
      <w:r>
        <w:rPr>
          <w:rFonts w:hint="eastAsia" w:ascii="黑体" w:hAnsi="黑体" w:eastAsia="黑体" w:cs="黑体"/>
          <w:b/>
          <w:bCs w:val="0"/>
          <w:color w:val="auto"/>
          <w:highlight w:val="none"/>
          <w:lang w:val="en-US" w:eastAsia="zh-CN"/>
        </w:rPr>
        <w:t>第二次</w:t>
      </w:r>
      <w:r>
        <w:rPr>
          <w:rFonts w:hint="eastAsia" w:ascii="黑体" w:hAnsi="黑体" w:eastAsia="黑体" w:cs="黑体"/>
          <w:b/>
          <w:bCs w:val="0"/>
          <w:color w:val="auto"/>
          <w:highlight w:val="none"/>
          <w:lang w:eastAsia="zh-CN"/>
        </w:rPr>
        <w:t>）</w:t>
      </w:r>
    </w:p>
    <w:p w14:paraId="5A53145B">
      <w:pPr>
        <w:rPr>
          <w:rFonts w:hint="default"/>
          <w:lang w:val="en-US" w:eastAsia="zh-CN"/>
        </w:rPr>
      </w:pP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中山市板芙医院现对中山市板芙医院微波治疗仪采购项目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第二次</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中山市板芙医院微波治疗仪采购项目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第二次</w:t>
      </w:r>
      <w:r>
        <w:rPr>
          <w:rFonts w:hint="eastAsia" w:ascii="宋体" w:hAnsi="宋体" w:cs="宋体"/>
          <w:bCs/>
          <w:color w:val="auto"/>
          <w:sz w:val="21"/>
          <w:szCs w:val="21"/>
          <w:highlight w:val="none"/>
          <w:lang w:eastAsia="zh-CN"/>
        </w:rPr>
        <w:t>）</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4"/>
        <w:gridCol w:w="1861"/>
        <w:gridCol w:w="2054"/>
        <w:gridCol w:w="1957"/>
        <w:gridCol w:w="2064"/>
      </w:tblGrid>
      <w:tr w14:paraId="3EFB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971" w:type="pct"/>
            <w:noWrap w:val="0"/>
            <w:vAlign w:val="center"/>
          </w:tcPr>
          <w:p w14:paraId="7E2221A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44" w:type="pct"/>
            <w:noWrap w:val="0"/>
            <w:vAlign w:val="center"/>
          </w:tcPr>
          <w:p w14:paraId="3C8A818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1042" w:type="pct"/>
            <w:noWrap w:val="0"/>
            <w:vAlign w:val="center"/>
          </w:tcPr>
          <w:p w14:paraId="0DD7838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93" w:type="pct"/>
            <w:noWrap w:val="0"/>
            <w:vAlign w:val="center"/>
          </w:tcPr>
          <w:p w14:paraId="7130E00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1047" w:type="pct"/>
            <w:noWrap w:val="0"/>
            <w:vAlign w:val="center"/>
          </w:tcPr>
          <w:p w14:paraId="74A1D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2A4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971" w:type="pct"/>
            <w:noWrap w:val="0"/>
            <w:vAlign w:val="center"/>
          </w:tcPr>
          <w:p w14:paraId="2FDE427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微波治疗仪</w:t>
            </w:r>
          </w:p>
        </w:tc>
        <w:tc>
          <w:tcPr>
            <w:tcW w:w="944" w:type="pct"/>
            <w:noWrap w:val="0"/>
            <w:vAlign w:val="center"/>
          </w:tcPr>
          <w:p w14:paraId="555EBC7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1042" w:type="pct"/>
            <w:noWrap w:val="0"/>
            <w:vAlign w:val="center"/>
          </w:tcPr>
          <w:p w14:paraId="602EF0C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93" w:type="pct"/>
            <w:noWrap w:val="0"/>
            <w:vAlign w:val="center"/>
          </w:tcPr>
          <w:p w14:paraId="252FAE7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30,000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047" w:type="pct"/>
            <w:noWrap w:val="0"/>
            <w:vAlign w:val="center"/>
          </w:tcPr>
          <w:p w14:paraId="0B5E851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5C360107">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四、采购需求书</w:t>
      </w:r>
    </w:p>
    <w:p w14:paraId="21ABB47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（一）用途</w:t>
      </w:r>
    </w:p>
    <w:p w14:paraId="5D844C1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1.主要用于镇痛、抗炎、脱敏和改善组织代谢和营养。</w:t>
      </w:r>
    </w:p>
    <w:p w14:paraId="572A716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（二）技术规格、参数及要求</w:t>
      </w:r>
    </w:p>
    <w:p w14:paraId="2DADFE0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1.液晶触摸屏，微电脑控制，输出功率稳定。</w:t>
      </w:r>
    </w:p>
    <w:p w14:paraId="654B438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2.工作频率：2400MHz至2500MHz。</w:t>
      </w:r>
    </w:p>
    <w:p w14:paraId="1B2CA23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3.驻波比≤3。</w:t>
      </w:r>
    </w:p>
    <w:p w14:paraId="57841F7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4.非期望辐射≤10mW/cm2。</w:t>
      </w:r>
    </w:p>
    <w:p w14:paraId="6FCC737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5.治疗模式：理疗模式。</w:t>
      </w:r>
    </w:p>
    <w:p w14:paraId="1D0A84A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6.输出功率连续可调。</w:t>
      </w:r>
    </w:p>
    <w:p w14:paraId="7A26F7D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7.时间设置：0～30min。</w:t>
      </w:r>
    </w:p>
    <w:p w14:paraId="5E99240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8.输出方式：最少含连续式、脉冲式两种输出方式。</w:t>
      </w:r>
    </w:p>
    <w:p w14:paraId="252B2BD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9.病例信息管理：记录患者姓名、性别、治疗次数等信息，并可删除病例。</w:t>
      </w:r>
    </w:p>
    <w:p w14:paraId="6FD3AB2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10.自定义显示方案名、输出方式、治疗时间等。</w:t>
      </w:r>
    </w:p>
    <w:p w14:paraId="049E43E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11.设备界面上可以查看所有通道的运行状态及故障代码。</w:t>
      </w:r>
    </w:p>
    <w:p w14:paraId="2C6F94B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12.治疗结束后，机器有蜂鸣器提醒。</w:t>
      </w:r>
    </w:p>
    <w:p w14:paraId="569C1F0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highlight w:val="none"/>
          <w:lang w:val="en-US" w:eastAsia="zh-CN"/>
        </w:rPr>
      </w:pPr>
      <w:r>
        <w:rPr>
          <w:rFonts w:hint="eastAsia" w:ascii="宋体" w:hAnsi="宋体" w:cs="宋体"/>
          <w:i w:val="0"/>
          <w:iCs w:val="0"/>
          <w:color w:val="auto"/>
          <w:kern w:val="0"/>
          <w:sz w:val="21"/>
          <w:szCs w:val="21"/>
          <w:highlight w:val="none"/>
          <w:u w:val="none"/>
          <w:lang w:val="en-US" w:eastAsia="zh-CN" w:bidi="ar"/>
        </w:rPr>
        <w:t>（三）商务要求</w:t>
      </w:r>
    </w:p>
    <w:p w14:paraId="3D8317D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7C4852B5">
      <w:pPr>
        <w:keepNext w:val="0"/>
        <w:keepLines w:val="0"/>
        <w:pageBreakBefore w:val="0"/>
        <w:kinsoku/>
        <w:overflowPunct/>
        <w:topLinePunct w:val="0"/>
        <w:bidi w:val="0"/>
        <w:spacing w:line="360" w:lineRule="exact"/>
        <w:ind w:firstLine="420" w:firstLineChars="200"/>
        <w:jc w:val="left"/>
        <w:rPr>
          <w:rFonts w:hint="default" w:ascii="宋体" w:hAnsi="宋体" w:eastAsia="宋体" w:cs="Times New Roman"/>
          <w:bCs/>
          <w:color w:val="auto"/>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sz w:val="21"/>
          <w:szCs w:val="21"/>
          <w:highlight w:val="none"/>
          <w:lang w:val="en-US" w:eastAsia="zh-CN"/>
        </w:rPr>
        <w:t>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57DB90CC">
      <w:pPr>
        <w:keepNext w:val="0"/>
        <w:keepLines w:val="0"/>
        <w:pageBreakBefore w:val="0"/>
        <w:kinsoku/>
        <w:overflowPunct/>
        <w:topLinePunct w:val="0"/>
        <w:bidi w:val="0"/>
        <w:spacing w:line="360" w:lineRule="exact"/>
        <w:ind w:firstLine="420" w:firstLineChars="20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1.2合同签订后30天内交货，完成安装测试运行验收合格后</w:t>
      </w:r>
      <w:bookmarkStart w:id="1" w:name="_GoBack"/>
      <w:bookmarkEnd w:id="1"/>
      <w:r>
        <w:rPr>
          <w:rFonts w:hint="eastAsia" w:ascii="宋体" w:hAnsi="宋体" w:eastAsia="宋体" w:cs="Times New Roman"/>
          <w:bCs/>
          <w:color w:val="auto"/>
          <w:szCs w:val="21"/>
          <w:highlight w:val="none"/>
          <w:lang w:val="en-US" w:eastAsia="zh-CN"/>
        </w:rPr>
        <w:t>支付至合同金额的100%。</w:t>
      </w:r>
    </w:p>
    <w:p w14:paraId="7974328A">
      <w:pPr>
        <w:keepNext w:val="0"/>
        <w:keepLines w:val="0"/>
        <w:pageBreakBefore w:val="0"/>
        <w:kinsoku/>
        <w:overflowPunct/>
        <w:topLinePunct w:val="0"/>
        <w:bidi w:val="0"/>
        <w:spacing w:line="36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2.验收标准和方法</w:t>
      </w:r>
    </w:p>
    <w:p w14:paraId="69F498A3">
      <w:pPr>
        <w:keepNext w:val="0"/>
        <w:keepLines w:val="0"/>
        <w:pageBreakBefore w:val="0"/>
        <w:kinsoku/>
        <w:overflowPunct/>
        <w:topLinePunct w:val="0"/>
        <w:bidi w:val="0"/>
        <w:spacing w:line="360" w:lineRule="exact"/>
        <w:ind w:firstLine="420" w:firstLineChars="200"/>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★2.1设备生产日期在合同签订日期前12个月以内，设定使用年限不少于5年。</w:t>
      </w:r>
    </w:p>
    <w:p w14:paraId="290BCE21">
      <w:pPr>
        <w:keepNext w:val="0"/>
        <w:keepLines w:val="0"/>
        <w:pageBreakBefore w:val="0"/>
        <w:kinsoku/>
        <w:overflowPunct/>
        <w:topLinePunct w:val="0"/>
        <w:bidi w:val="0"/>
        <w:spacing w:line="360" w:lineRule="exact"/>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2.2设备验收在采购人和供应商双方共同参与下按国家有关的规定、规范进行。</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验收时如发现所交付的设备有短装、次品、损坏或其它不符合本合同规定之情形者，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5供应商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71D2D4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4.保密要求：双方合作中涉及的所有业务、技术资料，均有责任对第三方保密。如其中一方擅自将涉及另一方的商业和技术秘密的资料透漏给第三方，则另一方将保留追究对方法律责任的权利。</w:t>
      </w:r>
    </w:p>
    <w:p w14:paraId="512248B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安装调试及技术服务(含培训)要求</w:t>
      </w:r>
      <w:r>
        <w:rPr>
          <w:rFonts w:hint="eastAsia" w:ascii="宋体" w:hAnsi="宋体" w:cs="宋体"/>
          <w:i w:val="0"/>
          <w:iCs w:val="0"/>
          <w:color w:val="auto"/>
          <w:kern w:val="0"/>
          <w:sz w:val="21"/>
          <w:szCs w:val="21"/>
          <w:highlight w:val="none"/>
          <w:u w:val="none"/>
          <w:lang w:val="en-US" w:eastAsia="zh-CN" w:bidi="ar"/>
        </w:rPr>
        <w:t>：供应商负责设备的安装，供应商</w:t>
      </w:r>
      <w:r>
        <w:rPr>
          <w:rFonts w:hint="eastAsia" w:ascii="宋体" w:hAnsi="宋体" w:eastAsia="宋体" w:cs="宋体"/>
          <w:i w:val="0"/>
          <w:iCs w:val="0"/>
          <w:color w:val="auto"/>
          <w:kern w:val="0"/>
          <w:sz w:val="21"/>
          <w:szCs w:val="21"/>
          <w:highlight w:val="none"/>
          <w:u w:val="none"/>
          <w:lang w:val="en-US" w:eastAsia="zh-CN" w:bidi="ar"/>
        </w:rPr>
        <w:t>负责对科室技术人员、操作人员进行免费业务培训，培训内容包括设备操作、设备维护、专业知识等，培训保证技术人员、操作人员能够掌握并独立操作为止。</w:t>
      </w:r>
    </w:p>
    <w:p w14:paraId="61C0B34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售后服务的要求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维修保修期满,</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终身提供维修服务，不收取上门费,只收取配件等相关成本费用。仪器出现问题，</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在接到</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电话通知后，立即提供电话指导,如无法远程解决，</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工程师在接到院方电话后24小时内提供解决方案,并负责设备的维修。</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C7C61D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37AE80B9">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DD7D735">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须按“附件2参选文件格式（第二次）”要求提供。</w:t>
      </w:r>
    </w:p>
    <w:p w14:paraId="2E268C7F">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502C73AB">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6EE34C9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（第二次）”</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highlight w:val="none"/>
                <w:lang w:eastAsia="zh-CN"/>
              </w:rPr>
            </w:pPr>
            <w:r>
              <w:rPr>
                <w:rStyle w:val="18"/>
                <w:rFonts w:hint="eastAsia" w:ascii="宋体" w:hAnsi="宋体" w:eastAsia="宋体" w:cs="宋体"/>
                <w:color w:val="333333"/>
                <w:sz w:val="21"/>
                <w:szCs w:val="21"/>
                <w:highlight w:val="none"/>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C4F7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601941E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4250E7B">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=一般条款响应程度得分（按四舍五入保留两位）。）</w:t>
            </w:r>
          </w:p>
          <w:p w14:paraId="23EC72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4D1A8B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3A11FB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w:t>
            </w:r>
            <w:r>
              <w:rPr>
                <w:rFonts w:hint="eastAsia" w:ascii="宋体" w:hAnsi="宋体" w:cs="宋体"/>
                <w:sz w:val="21"/>
                <w:szCs w:val="21"/>
                <w:highlight w:val="none"/>
                <w:lang w:val="en-US" w:eastAsia="zh-CN"/>
              </w:rPr>
              <w:t>承诺提供的设备生产日期、设定的使用年限、</w:t>
            </w:r>
            <w:r>
              <w:rPr>
                <w:rFonts w:hint="eastAsia" w:ascii="宋体" w:hAnsi="宋体" w:eastAsia="宋体" w:cs="宋体"/>
                <w:sz w:val="21"/>
                <w:szCs w:val="21"/>
                <w:highlight w:val="none"/>
              </w:rPr>
              <w:t>维护保养、培训等内容）：</w:t>
            </w:r>
          </w:p>
          <w:p w14:paraId="672DD18E">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质量保证期、承诺提供的设备生产日期和使用年限均</w:t>
            </w:r>
            <w:r>
              <w:rPr>
                <w:rFonts w:hint="eastAsia" w:ascii="宋体" w:hAnsi="宋体" w:eastAsia="宋体" w:cs="宋体"/>
                <w:sz w:val="21"/>
                <w:szCs w:val="21"/>
                <w:highlight w:val="none"/>
              </w:rPr>
              <w:t>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7F3BA1E0">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val="en-US" w:eastAsia="zh-CN"/>
              </w:rPr>
              <w:t>质量保证期、承诺提供的设备生产日期和使用年限均</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2088171F">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w:t>
            </w:r>
            <w:r>
              <w:rPr>
                <w:rFonts w:hint="eastAsia" w:ascii="宋体" w:hAnsi="宋体" w:cs="宋体"/>
                <w:sz w:val="21"/>
                <w:szCs w:val="21"/>
                <w:highlight w:val="none"/>
                <w:lang w:val="en-US" w:eastAsia="zh-CN"/>
              </w:rPr>
              <w:t>质量保证期或承诺提供的设备生产日期或使用年限满足比选文件要求，</w:t>
            </w:r>
            <w:r>
              <w:rPr>
                <w:rFonts w:hint="eastAsia" w:ascii="宋体" w:hAnsi="宋体" w:eastAsia="宋体" w:cs="宋体"/>
                <w:sz w:val="21"/>
                <w:szCs w:val="21"/>
                <w:highlight w:val="none"/>
              </w:rPr>
              <w:t>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112CCFC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w:t>
            </w:r>
            <w:r>
              <w:rPr>
                <w:rFonts w:hint="eastAsia" w:ascii="宋体" w:hAnsi="宋体" w:cs="宋体"/>
                <w:sz w:val="21"/>
                <w:szCs w:val="21"/>
                <w:highlight w:val="none"/>
                <w:lang w:val="en-US" w:eastAsia="zh-CN"/>
              </w:rPr>
              <w:t>承诺提供的设备生产日期不能满足比选文件要求，</w:t>
            </w:r>
            <w:r>
              <w:rPr>
                <w:rFonts w:hint="eastAsia" w:ascii="宋体" w:hAnsi="宋体" w:eastAsia="宋体" w:cs="宋体"/>
                <w:sz w:val="21"/>
                <w:szCs w:val="21"/>
                <w:highlight w:val="none"/>
              </w:rPr>
              <w:t>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4F3FC2E9">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tc>
      </w:tr>
    </w:tbl>
    <w:p w14:paraId="017B83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补充事项</w:t>
      </w:r>
    </w:p>
    <w:p w14:paraId="646235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符合资格条件的参选人只有两家或对参选文件作实质响应的参选人只有两家时，评标小组继续按照本次公告的评审方法对参选人进行详细评审，确定拟中选单位（如经评审符合资格条件或对参选文件作实质响应的参选人剩下一家，则确定其为拟中选单位）；</w:t>
      </w:r>
    </w:p>
    <w:p w14:paraId="72E7A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（二）当在参选截止时间前提交参选文件的参选人只有一家，经评审符合资格条件且已对参选文件作实质响应的，则确定其为拟中选单位。</w:t>
      </w:r>
    </w:p>
    <w:p w14:paraId="01D64E7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lang w:val="en-US"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采购人将不承担供应商准备响应文件和递交响应文件以及参加本次比选活动所发生的任何成本或费用。</w:t>
      </w:r>
    </w:p>
    <w:p w14:paraId="740851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45D24521">
      <w:pPr>
        <w:keepNext w:val="0"/>
        <w:keepLines w:val="0"/>
        <w:pageBreakBefore w:val="0"/>
        <w:tabs>
          <w:tab w:val="left" w:pos="567"/>
          <w:tab w:val="left" w:pos="1133"/>
        </w:tabs>
        <w:kinsoku/>
        <w:wordWrap/>
        <w:overflowPunct/>
        <w:topLinePunct w:val="0"/>
        <w:autoSpaceDE w:val="0"/>
        <w:autoSpaceDN w:val="0"/>
        <w:bidi w:val="0"/>
        <w:spacing w:line="360" w:lineRule="exact"/>
        <w:ind w:firstLine="8222" w:firstLineChars="3900"/>
        <w:jc w:val="both"/>
        <w:textAlignment w:val="bottom"/>
        <w:rPr>
          <w:rFonts w:hint="eastAsia" w:ascii="宋体" w:hAnsi="宋体" w:eastAsia="宋体" w:cs="宋体"/>
          <w:sz w:val="21"/>
          <w:szCs w:val="21"/>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27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20A5FE5"/>
    <w:rsid w:val="02AD51D0"/>
    <w:rsid w:val="053C4277"/>
    <w:rsid w:val="074F28CD"/>
    <w:rsid w:val="075A0C9C"/>
    <w:rsid w:val="075D0E74"/>
    <w:rsid w:val="088C3CD7"/>
    <w:rsid w:val="08B42162"/>
    <w:rsid w:val="0A552405"/>
    <w:rsid w:val="0B105E8F"/>
    <w:rsid w:val="0B5A71A0"/>
    <w:rsid w:val="0D303E96"/>
    <w:rsid w:val="0D5356A5"/>
    <w:rsid w:val="0F411E6B"/>
    <w:rsid w:val="10FD2C30"/>
    <w:rsid w:val="119B1202"/>
    <w:rsid w:val="11F2677F"/>
    <w:rsid w:val="120A5047"/>
    <w:rsid w:val="13F16B18"/>
    <w:rsid w:val="16AF68E3"/>
    <w:rsid w:val="17AD667F"/>
    <w:rsid w:val="185952FC"/>
    <w:rsid w:val="188E5849"/>
    <w:rsid w:val="19C23FFF"/>
    <w:rsid w:val="1A34170F"/>
    <w:rsid w:val="1B902BD0"/>
    <w:rsid w:val="1CC85A68"/>
    <w:rsid w:val="1D1A254A"/>
    <w:rsid w:val="1DAB3FD6"/>
    <w:rsid w:val="1DE13CE9"/>
    <w:rsid w:val="21316930"/>
    <w:rsid w:val="2160284E"/>
    <w:rsid w:val="219C3D3D"/>
    <w:rsid w:val="21E441D2"/>
    <w:rsid w:val="23DE7C97"/>
    <w:rsid w:val="241A2687"/>
    <w:rsid w:val="253202CD"/>
    <w:rsid w:val="25B32E2D"/>
    <w:rsid w:val="32301FF4"/>
    <w:rsid w:val="32862630"/>
    <w:rsid w:val="33AD6EE0"/>
    <w:rsid w:val="34D01BF2"/>
    <w:rsid w:val="34D81478"/>
    <w:rsid w:val="3A822C5D"/>
    <w:rsid w:val="3AEB754D"/>
    <w:rsid w:val="410F24F8"/>
    <w:rsid w:val="41B868E9"/>
    <w:rsid w:val="437742C5"/>
    <w:rsid w:val="488A14A0"/>
    <w:rsid w:val="48A526FB"/>
    <w:rsid w:val="49FB0CA3"/>
    <w:rsid w:val="4AE91161"/>
    <w:rsid w:val="4B484904"/>
    <w:rsid w:val="4B553A9B"/>
    <w:rsid w:val="4BBB7188"/>
    <w:rsid w:val="4F183C27"/>
    <w:rsid w:val="4FA2515B"/>
    <w:rsid w:val="50897E78"/>
    <w:rsid w:val="52D05187"/>
    <w:rsid w:val="53BE1870"/>
    <w:rsid w:val="53CF4C12"/>
    <w:rsid w:val="557E41CD"/>
    <w:rsid w:val="57A26C6F"/>
    <w:rsid w:val="57A47613"/>
    <w:rsid w:val="5966506E"/>
    <w:rsid w:val="59761BA9"/>
    <w:rsid w:val="5B8247AD"/>
    <w:rsid w:val="5C397F66"/>
    <w:rsid w:val="5DDA7107"/>
    <w:rsid w:val="5E4647B1"/>
    <w:rsid w:val="5FA04E1F"/>
    <w:rsid w:val="5FC6594D"/>
    <w:rsid w:val="62503D99"/>
    <w:rsid w:val="630252F7"/>
    <w:rsid w:val="631B1778"/>
    <w:rsid w:val="642705C1"/>
    <w:rsid w:val="676D3727"/>
    <w:rsid w:val="69D1193E"/>
    <w:rsid w:val="6A1155E1"/>
    <w:rsid w:val="6AD80A32"/>
    <w:rsid w:val="6DBE0F5A"/>
    <w:rsid w:val="70C54A6B"/>
    <w:rsid w:val="71B92164"/>
    <w:rsid w:val="721D6DAF"/>
    <w:rsid w:val="728C5C5D"/>
    <w:rsid w:val="729B2CA6"/>
    <w:rsid w:val="73314E5B"/>
    <w:rsid w:val="74C9421C"/>
    <w:rsid w:val="75F12DC4"/>
    <w:rsid w:val="78C30A2E"/>
    <w:rsid w:val="795559D4"/>
    <w:rsid w:val="7BAA7F65"/>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2829</Words>
  <Characters>3005</Characters>
  <Lines>0</Lines>
  <Paragraphs>0</Paragraphs>
  <TotalTime>1</TotalTime>
  <ScaleCrop>false</ScaleCrop>
  <LinksUpToDate>false</LinksUpToDate>
  <CharactersWithSpaces>3016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2025-06-25T07:48:56Z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