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范窝成、冯礼智变更规划条件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</w:p>
    <w:p w14:paraId="38862E6B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lang w:val="en-US" w:eastAsia="zh-CN"/>
        </w:rPr>
      </w:pPr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5756275" cy="4283075"/>
            <wp:effectExtent l="0" t="0" r="15875" b="3175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范窝成、冯礼智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</w:rPr>
        <w:t>名下一宗用地规划条件。我局已受理其申请，按照城乡规划相关法律、法规的有关规定，现对申请变更规划条件事项进行公示，公示如下：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不动产权证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号：粤（2023）中山市不动产权第0301099号、粤（2023）中山市不动产权第0301100号，权利人：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范窝成、冯礼智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，坐落：中山市黄圃镇兴圃大道中74号之二，土地使用权取得方式：出让，用途：工业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，用地面积：7697.60平方米。该用地在《 中山市黄圃镇新沙片区（0508 单元）01、03 街区控制性详细规划一般修改（2025）》中确定的规划用地性质为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类工业用地，地块编码：05080116。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容积率：1.0-3.5，绿地率：10%-15%，建筑密度：35%-60%，建筑限高：生产性建筑高度≤50 米；配套设施建筑高度≤100 米。</w:t>
      </w:r>
    </w:p>
    <w:p w14:paraId="4066928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</w:p>
    <w:p w14:paraId="0B5F8DD4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440BFC7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设计降雨量：≥12.7mm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10%-15%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3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生产性建筑高度≤50 米；配套设施建筑高度≤100 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6FB6582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</w:t>
      </w:r>
    </w:p>
    <w:p w14:paraId="07646B2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20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容积率：1.0-3.5，绿地率：10%-15%，建筑密度：35%-60%，建筑限高：生产性建筑高度≤50 米；配套设施建筑高度≤100 米。</w:t>
      </w:r>
    </w:p>
    <w:p w14:paraId="4C16BDC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D527B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设计降雨量：≥12.7mm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BCA7F50"/>
    <w:rsid w:val="0C1F34AF"/>
    <w:rsid w:val="0D5A1BD9"/>
    <w:rsid w:val="0EB76390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41AD1261"/>
    <w:rsid w:val="41B536E9"/>
    <w:rsid w:val="420A7077"/>
    <w:rsid w:val="420E0105"/>
    <w:rsid w:val="42A735A9"/>
    <w:rsid w:val="43652301"/>
    <w:rsid w:val="44023A39"/>
    <w:rsid w:val="44B2115E"/>
    <w:rsid w:val="45C3234F"/>
    <w:rsid w:val="47FD4714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16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2025-06-13T07:05:49Z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ED36DF1444514EEE9EDA074CF4DD7FCA_13</vt:lpwstr>
  </property>
</Properties>
</file>