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医用储血冰箱</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医用储血冰箱</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医用储血冰箱</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23,000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4"/>
        <w:gridCol w:w="1861"/>
        <w:gridCol w:w="2054"/>
        <w:gridCol w:w="1957"/>
        <w:gridCol w:w="2064"/>
      </w:tblGrid>
      <w:tr w14:paraId="3EFB4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971" w:type="pct"/>
            <w:noWrap w:val="0"/>
            <w:vAlign w:val="center"/>
          </w:tcPr>
          <w:p w14:paraId="7E2221A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944" w:type="pct"/>
            <w:noWrap w:val="0"/>
            <w:vAlign w:val="center"/>
          </w:tcPr>
          <w:p w14:paraId="3C8A818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数量（单位）</w:t>
            </w:r>
          </w:p>
        </w:tc>
        <w:tc>
          <w:tcPr>
            <w:tcW w:w="1042" w:type="pct"/>
            <w:noWrap w:val="0"/>
            <w:vAlign w:val="center"/>
          </w:tcPr>
          <w:p w14:paraId="0DD7838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993" w:type="pct"/>
            <w:noWrap w:val="0"/>
            <w:vAlign w:val="center"/>
          </w:tcPr>
          <w:p w14:paraId="7130E00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1047" w:type="pct"/>
            <w:noWrap w:val="0"/>
            <w:vAlign w:val="center"/>
          </w:tcPr>
          <w:p w14:paraId="74A1D59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2A4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971" w:type="pct"/>
            <w:noWrap w:val="0"/>
            <w:vAlign w:val="center"/>
          </w:tcPr>
          <w:p w14:paraId="2FDE427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医用储血冰箱</w:t>
            </w:r>
          </w:p>
        </w:tc>
        <w:tc>
          <w:tcPr>
            <w:tcW w:w="944" w:type="pct"/>
            <w:noWrap w:val="0"/>
            <w:vAlign w:val="center"/>
          </w:tcPr>
          <w:p w14:paraId="555EBC7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1042" w:type="pct"/>
            <w:noWrap w:val="0"/>
            <w:vAlign w:val="center"/>
          </w:tcPr>
          <w:p w14:paraId="602EF0C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93" w:type="pct"/>
            <w:noWrap w:val="0"/>
            <w:vAlign w:val="center"/>
          </w:tcPr>
          <w:p w14:paraId="252FAE7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047" w:type="pct"/>
            <w:noWrap w:val="0"/>
            <w:vAlign w:val="center"/>
          </w:tcPr>
          <w:p w14:paraId="0B5E851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21ABB47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5D844C14">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1.主要用于输血科血液存储。</w:t>
      </w:r>
    </w:p>
    <w:p w14:paraId="3914735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02296FD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1.有效容积</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160L。</w:t>
      </w:r>
    </w:p>
    <w:p w14:paraId="33345AC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▲2.微电脑精准控制，温度设置范围2-6℃，温度设置精度为0.1℃，显示精度为0.1℃。测试孔</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1个。</w:t>
      </w:r>
    </w:p>
    <w:p w14:paraId="6CE84DC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3.采用双重微电脑智能保护，有效保护血液存储安全。</w:t>
      </w:r>
    </w:p>
    <w:p w14:paraId="6573BD1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4.内胆材质使用304不锈钢，耐脏易清洁、防腐蚀。</w:t>
      </w:r>
    </w:p>
    <w:p w14:paraId="2D676FC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5.双层钢化玻璃门。</w:t>
      </w:r>
    </w:p>
    <w:p w14:paraId="61DD7F3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6.独立门锁，具有自关闭功能，防止误开。</w:t>
      </w:r>
    </w:p>
    <w:p w14:paraId="6179571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▲7.具有最少4个可调节分区层架。</w:t>
      </w:r>
    </w:p>
    <w:p w14:paraId="376230A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8.温度传感器</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6个，自动化霜功能。</w:t>
      </w:r>
    </w:p>
    <w:p w14:paraId="725C633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9.多重保护功能：压缩机开机延时启动保护、压缩机停机间隔保护、控制器密码保护，防止参数随意调整、断电记忆保护、宽电压保护、防高温保护、防低温保护等。</w:t>
      </w:r>
    </w:p>
    <w:p w14:paraId="21263B2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highlight w:val="none"/>
          <w:lang w:eastAsia="zh-CN"/>
        </w:rPr>
      </w:pPr>
      <w:r>
        <w:rPr>
          <w:rFonts w:hint="eastAsia" w:ascii="宋体" w:hAnsi="宋体" w:cs="宋体"/>
          <w:color w:val="auto"/>
          <w:sz w:val="21"/>
          <w:szCs w:val="21"/>
          <w:highlight w:val="none"/>
          <w:lang w:val="en-US" w:eastAsia="zh-CN"/>
        </w:rPr>
        <w:t>10.箱体配有热敏打印机，可自动实时打印箱内温度，打印时间间隔可调。</w:t>
      </w:r>
    </w:p>
    <w:p w14:paraId="418222A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506B8F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1.付款方式</w:t>
      </w:r>
    </w:p>
    <w:p w14:paraId="541AF88E">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cs="Times New Roman"/>
          <w:bCs/>
          <w:color w:val="auto"/>
          <w:szCs w:val="21"/>
          <w:highlight w:val="none"/>
          <w:lang w:val="en-US" w:eastAsia="zh-CN"/>
        </w:rPr>
        <w:t>1.1</w:t>
      </w:r>
      <w:r>
        <w:rPr>
          <w:rFonts w:hint="eastAsia" w:ascii="宋体" w:hAnsi="宋体" w:cs="宋体"/>
          <w:color w:val="auto"/>
          <w:sz w:val="21"/>
          <w:szCs w:val="21"/>
          <w:highlight w:val="none"/>
          <w:lang w:val="en-US" w:eastAsia="zh-CN"/>
        </w:rPr>
        <w:t>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3C5B73B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1.2合同签订后30天内交货，完成安装测试运行验收合格后第1个月内支付合同金额的95%，质量保证期满后第1个月内支付至合同金额的100%。</w:t>
      </w:r>
    </w:p>
    <w:p w14:paraId="7974328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2.验收标准和方法</w:t>
      </w:r>
    </w:p>
    <w:p w14:paraId="0515693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2.1设备生产日期在合同签订日期前6个月以内。</w:t>
      </w:r>
    </w:p>
    <w:p w14:paraId="290BCE2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2.3验收时如发现所交付的设备有短装、次品、损坏或其它不符合本合同规定之情形者，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质量保证期：整机质保期不少于2年。</w:t>
      </w:r>
    </w:p>
    <w:p w14:paraId="71D2D4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4.保密要求：双方合作中涉及的所有业务、技术资料，均有责任对第三方保密。如其中一方擅自将涉及另一方的商业和技术秘密的资料透漏给第三方，则另一方将保留追究对方法律责任的权利。</w:t>
      </w:r>
    </w:p>
    <w:p w14:paraId="512248B8">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安装调试及技术服务(含培训)要求</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负责对科室技术人员、操作人员进行免费业务培训，培训内容包括设备操作、设备维护、专业知识等，培训保证技术人员、操作人员能够掌握并独立操作为止。</w:t>
      </w:r>
    </w:p>
    <w:p w14:paraId="61C0B34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售后服务的要求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维修保修期满,</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终身提供维修服务，不收取上门费,只收取配件等相关成本费用。仪器出现问题，</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在接到</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电话通知后，立即提供电话指导,如无法远程解决，</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工程师在接到院方电话后24小时内提供解决方案,并负责设备的维修。</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6C7C61D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37AE80B9">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41F6F42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ADC7378">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lang w:val="en-US"/>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p>
    <w:p w14:paraId="1C4DB2A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5"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3"/>
        <w:gridCol w:w="1623"/>
        <w:gridCol w:w="7073"/>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highlight w:val="none"/>
                <w:lang w:eastAsia="zh-CN"/>
              </w:rPr>
            </w:pPr>
            <w:r>
              <w:rPr>
                <w:rStyle w:val="18"/>
                <w:rFonts w:hint="eastAsia" w:ascii="宋体" w:hAnsi="宋体" w:eastAsia="宋体" w:cs="宋体"/>
                <w:color w:val="333333"/>
                <w:sz w:val="21"/>
                <w:szCs w:val="21"/>
                <w:highlight w:val="none"/>
                <w:lang w:eastAsia="zh-CN"/>
              </w:rPr>
              <w:t>评审项目</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24D65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w:t>
            </w:r>
            <w:r>
              <w:rPr>
                <w:rFonts w:hint="eastAsia" w:ascii="宋体" w:hAnsi="宋体" w:cs="宋体"/>
                <w:i w:val="0"/>
                <w:iCs w:val="0"/>
                <w:color w:val="auto"/>
                <w:kern w:val="0"/>
                <w:sz w:val="21"/>
                <w:szCs w:val="21"/>
                <w:highlight w:val="none"/>
                <w:u w:val="none"/>
                <w:lang w:val="en-US" w:eastAsia="zh-CN" w:bidi="ar"/>
              </w:rPr>
              <w:t>采购需求书</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rPr>
              <w:t>响应程度</w:t>
            </w:r>
          </w:p>
          <w:p w14:paraId="73920675">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A03B18D">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”条款，共</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的响应程度进行评审：</w:t>
            </w:r>
          </w:p>
          <w:p w14:paraId="4F733465">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完全满足或</w:t>
            </w:r>
            <w:r>
              <w:rPr>
                <w:rFonts w:hint="eastAsia" w:ascii="宋体" w:hAnsi="宋体" w:eastAsia="宋体" w:cs="宋体"/>
                <w:color w:val="auto"/>
                <w:szCs w:val="21"/>
                <w:highlight w:val="none"/>
                <w:lang w:val="en-US" w:eastAsia="zh-CN"/>
              </w:rPr>
              <w:t>优</w:t>
            </w:r>
            <w:r>
              <w:rPr>
                <w:rFonts w:hint="eastAsia" w:ascii="宋体" w:hAnsi="宋体" w:eastAsia="宋体" w:cs="宋体"/>
                <w:color w:val="auto"/>
                <w:szCs w:val="21"/>
                <w:highlight w:val="none"/>
              </w:rPr>
              <w:t>于用户需求书的要求，得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5A83A196">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②存在1项负偏离或未响应，扣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分，扣至0分止。</w:t>
            </w:r>
          </w:p>
          <w:p w14:paraId="540355E5">
            <w:pPr>
              <w:rPr>
                <w:rFonts w:hint="eastAsia" w:ascii="宋体" w:hAnsi="宋体" w:eastAsia="宋体" w:cs="宋体"/>
                <w:color w:val="auto"/>
                <w:szCs w:val="21"/>
                <w:highlight w:val="none"/>
                <w:lang w:val="en-US" w:eastAsia="zh-CN"/>
              </w:rPr>
            </w:pPr>
            <w:r>
              <w:rPr>
                <w:rFonts w:hint="eastAsia" w:ascii="宋体" w:hAnsi="宋体" w:cs="宋体"/>
                <w:b w:val="0"/>
                <w:bCs/>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39</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评审分数按以下公式进行计算：优于或完全响应的条款数量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39</w:t>
            </w:r>
            <w:r>
              <w:rPr>
                <w:rFonts w:hint="eastAsia" w:ascii="宋体" w:hAnsi="宋体" w:eastAsia="宋体" w:cs="宋体"/>
                <w:color w:val="auto"/>
                <w:szCs w:val="21"/>
                <w:highlight w:val="none"/>
              </w:rPr>
              <w:t>=一般条款响应程度得分（按四舍五入保留两位）。）</w:t>
            </w:r>
          </w:p>
          <w:p w14:paraId="2ECA49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val="0"/>
                <w:color w:val="auto"/>
                <w:szCs w:val="21"/>
                <w:highlight w:val="none"/>
                <w:lang w:val="en-US" w:eastAsia="zh-CN"/>
              </w:rPr>
              <w:t>注：本项满分为45分，以采购需求书中要求提供（如有）的证明材料作为评审依据，未按要求提供不得分。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A703C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总体实施方案 </w:t>
            </w:r>
          </w:p>
          <w:p w14:paraId="4D1A8B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89FF9C8">
            <w:pPr>
              <w:pStyle w:val="25"/>
              <w:jc w:val="left"/>
              <w:rPr>
                <w:sz w:val="21"/>
                <w:szCs w:val="21"/>
                <w:highlight w:val="none"/>
              </w:rPr>
            </w:pPr>
            <w:r>
              <w:rPr>
                <w:sz w:val="21"/>
                <w:szCs w:val="21"/>
                <w:highlight w:val="none"/>
              </w:rPr>
              <w:t>根据</w:t>
            </w:r>
            <w:r>
              <w:rPr>
                <w:rFonts w:hint="eastAsia"/>
                <w:sz w:val="21"/>
                <w:szCs w:val="21"/>
                <w:highlight w:val="none"/>
                <w:lang w:eastAsia="zh-CN"/>
              </w:rPr>
              <w:t>供应商</w:t>
            </w:r>
            <w:r>
              <w:rPr>
                <w:sz w:val="21"/>
                <w:szCs w:val="21"/>
                <w:highlight w:val="none"/>
              </w:rPr>
              <w:t xml:space="preserve">提供的总体实施方案（包括但不限于：服务目标达成措施、服务计划、具体执行措施等）进行评审： </w:t>
            </w:r>
          </w:p>
          <w:p w14:paraId="7696BB15">
            <w:pPr>
              <w:pStyle w:val="25"/>
              <w:numPr>
                <w:ilvl w:val="0"/>
                <w:numId w:val="0"/>
              </w:numPr>
              <w:jc w:val="left"/>
              <w:rPr>
                <w:sz w:val="21"/>
                <w:szCs w:val="21"/>
                <w:highlight w:val="none"/>
              </w:rPr>
            </w:pPr>
            <w:r>
              <w:rPr>
                <w:rFonts w:hint="eastAsia"/>
                <w:sz w:val="21"/>
                <w:szCs w:val="21"/>
                <w:highlight w:val="none"/>
                <w:lang w:val="en-US" w:eastAsia="zh-CN"/>
              </w:rPr>
              <w:t>1.</w:t>
            </w:r>
            <w:r>
              <w:rPr>
                <w:sz w:val="21"/>
                <w:szCs w:val="21"/>
                <w:highlight w:val="none"/>
              </w:rPr>
              <w:t>服务目标达成措施清晰明确，服务计划详尽，执行方案（包括流程、制度等，下同）可操作性强的，得</w:t>
            </w:r>
            <w:r>
              <w:rPr>
                <w:rFonts w:hint="eastAsia"/>
                <w:sz w:val="21"/>
                <w:szCs w:val="21"/>
                <w:highlight w:val="none"/>
                <w:lang w:val="en-US" w:eastAsia="zh-CN"/>
              </w:rPr>
              <w:t>15</w:t>
            </w:r>
            <w:r>
              <w:rPr>
                <w:sz w:val="21"/>
                <w:szCs w:val="21"/>
                <w:highlight w:val="none"/>
              </w:rPr>
              <w:t>分；</w:t>
            </w:r>
          </w:p>
          <w:p w14:paraId="3BED19A9">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2.</w:t>
            </w:r>
            <w:r>
              <w:rPr>
                <w:sz w:val="21"/>
                <w:szCs w:val="21"/>
                <w:highlight w:val="none"/>
              </w:rPr>
              <w:t>服务目标达成措施较为明确，服务计划较为详尽，执行方案可操作性较强的，得</w:t>
            </w:r>
            <w:r>
              <w:rPr>
                <w:rFonts w:hint="eastAsia"/>
                <w:sz w:val="21"/>
                <w:szCs w:val="21"/>
                <w:highlight w:val="none"/>
                <w:lang w:val="en-US" w:eastAsia="zh-CN"/>
              </w:rPr>
              <w:t>11</w:t>
            </w:r>
            <w:r>
              <w:rPr>
                <w:sz w:val="21"/>
                <w:szCs w:val="21"/>
                <w:highlight w:val="none"/>
              </w:rPr>
              <w:t>分；</w:t>
            </w:r>
          </w:p>
          <w:p w14:paraId="1A310166">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3.</w:t>
            </w:r>
            <w:r>
              <w:rPr>
                <w:sz w:val="21"/>
                <w:szCs w:val="21"/>
                <w:highlight w:val="none"/>
              </w:rPr>
              <w:t>服务目标达成措施不明确，服务计划简单粗略，执行方案可操作性较弱的，得</w:t>
            </w:r>
            <w:r>
              <w:rPr>
                <w:rFonts w:hint="eastAsia"/>
                <w:sz w:val="21"/>
                <w:szCs w:val="21"/>
                <w:highlight w:val="none"/>
                <w:lang w:val="en-US" w:eastAsia="zh-CN"/>
              </w:rPr>
              <w:t>7</w:t>
            </w:r>
            <w:r>
              <w:rPr>
                <w:sz w:val="21"/>
                <w:szCs w:val="21"/>
                <w:highlight w:val="none"/>
              </w:rPr>
              <w:t>分；</w:t>
            </w:r>
          </w:p>
          <w:p w14:paraId="20D9D21B">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4.</w:t>
            </w:r>
            <w:r>
              <w:rPr>
                <w:sz w:val="21"/>
                <w:szCs w:val="21"/>
                <w:highlight w:val="none"/>
              </w:rPr>
              <w:t>服务目标达成措施模糊，服务计划缺失，执行方案可操作性差的，得</w:t>
            </w:r>
            <w:r>
              <w:rPr>
                <w:rFonts w:hint="eastAsia"/>
                <w:sz w:val="21"/>
                <w:szCs w:val="21"/>
                <w:highlight w:val="none"/>
                <w:lang w:val="en-US" w:eastAsia="zh-CN"/>
              </w:rPr>
              <w:t>3</w:t>
            </w:r>
            <w:r>
              <w:rPr>
                <w:sz w:val="21"/>
                <w:szCs w:val="21"/>
                <w:highlight w:val="none"/>
              </w:rPr>
              <w:t>分；</w:t>
            </w:r>
          </w:p>
          <w:p w14:paraId="4958E5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zh-CN" w:eastAsia="zh-CN" w:bidi="ar-SA"/>
              </w:rPr>
            </w:pPr>
            <w:r>
              <w:rPr>
                <w:rFonts w:hint="eastAsia"/>
                <w:sz w:val="21"/>
                <w:szCs w:val="21"/>
                <w:highlight w:val="none"/>
                <w:lang w:val="en-US" w:eastAsia="zh-CN"/>
              </w:rPr>
              <w:t>5.</w:t>
            </w:r>
            <w:r>
              <w:rPr>
                <w:sz w:val="21"/>
                <w:szCs w:val="21"/>
                <w:highlight w:val="none"/>
              </w:rPr>
              <w:t>未提供相关内容阐述的，不得分。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4A48A04A">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安装实施规范、测试验收标准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3E0B5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安装实施规范、测试验收标准是否考虑项目实际情况详尽合理、科学、可行。</w:t>
            </w:r>
          </w:p>
          <w:p w14:paraId="3234626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安装、检测、验收计划条理清晰，脉络分明，操作性强的得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6512A367">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安装、检测、验收计划条理较清晰，脉络较分明，操作性较强的得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537F78C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安装、检测、验收计划条理模糊，操作性一般的得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434FAE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安装、检测、验收计划条理混乱，脉络不分明，操作性差的得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97A8D23">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5.不提供得0分。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7A949E9">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根据供应商的售后服务承诺方案进行评审（包括安装调试、验收方案、质保期、维护保养、培训等内容）：</w:t>
            </w:r>
          </w:p>
          <w:p w14:paraId="05F0CD2D">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承诺的质量保证期明确，优于</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要求，售后服务内容详细、可行、操作性强，售后服务专业、解决问题效率高，服务响应到场时间短，零配件供应详细、合理，切合实际，完全响应并满足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 xml:space="preserve">分； </w:t>
            </w:r>
          </w:p>
          <w:p w14:paraId="1A1AE54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承诺的质量保证期明确，满足</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要求，售后服务内容较详细、可行，售后服务较专业、解决问题效率较高，服务响应到场时间较短，零配件供应较详细、合理，较能满足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分； </w:t>
            </w:r>
          </w:p>
          <w:p w14:paraId="37373C42">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承诺的质量保证期基本明确，售后服务内容简单，解决问题效率一般，服务响应到场时间较长，零配件供应不详尽，不能完全响应</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 xml:space="preserve">分； </w:t>
            </w:r>
          </w:p>
          <w:p w14:paraId="63F4B36B">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售后服务内容、质量保证期模糊不清，售后服务差，服务响应到场时间等不满足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不提供方案</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6A528776">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不提供得0分。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bookmarkStart w:id="1" w:name="_GoBack"/>
      <w:bookmarkEnd w:id="1"/>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74F28CD"/>
    <w:rsid w:val="075A0C9C"/>
    <w:rsid w:val="075D0E74"/>
    <w:rsid w:val="088C3CD7"/>
    <w:rsid w:val="08B42162"/>
    <w:rsid w:val="0A552405"/>
    <w:rsid w:val="0B105E8F"/>
    <w:rsid w:val="0B5A71A0"/>
    <w:rsid w:val="0B816D4C"/>
    <w:rsid w:val="0D303E96"/>
    <w:rsid w:val="0D5356A5"/>
    <w:rsid w:val="0F411E6B"/>
    <w:rsid w:val="10FD2C30"/>
    <w:rsid w:val="11F2677F"/>
    <w:rsid w:val="11FD4E35"/>
    <w:rsid w:val="120A5047"/>
    <w:rsid w:val="14795A57"/>
    <w:rsid w:val="16AF68E3"/>
    <w:rsid w:val="17AD667F"/>
    <w:rsid w:val="19C23FFF"/>
    <w:rsid w:val="1B902BD0"/>
    <w:rsid w:val="1D1A254A"/>
    <w:rsid w:val="1DAB3FD6"/>
    <w:rsid w:val="21316930"/>
    <w:rsid w:val="219C3D3D"/>
    <w:rsid w:val="21E441D2"/>
    <w:rsid w:val="241A2687"/>
    <w:rsid w:val="253202CD"/>
    <w:rsid w:val="29B10698"/>
    <w:rsid w:val="2CB27DEF"/>
    <w:rsid w:val="2F942FD1"/>
    <w:rsid w:val="32301FF4"/>
    <w:rsid w:val="32862630"/>
    <w:rsid w:val="33AD6EE0"/>
    <w:rsid w:val="34D81478"/>
    <w:rsid w:val="34E52B93"/>
    <w:rsid w:val="3A822C5D"/>
    <w:rsid w:val="3AEB754D"/>
    <w:rsid w:val="3C11515E"/>
    <w:rsid w:val="3D064E51"/>
    <w:rsid w:val="410F24F8"/>
    <w:rsid w:val="41B868E9"/>
    <w:rsid w:val="47977F8E"/>
    <w:rsid w:val="488A14A0"/>
    <w:rsid w:val="490D6F54"/>
    <w:rsid w:val="49FB0CA3"/>
    <w:rsid w:val="4AE91161"/>
    <w:rsid w:val="4F183C27"/>
    <w:rsid w:val="4FA2515B"/>
    <w:rsid w:val="52D05187"/>
    <w:rsid w:val="53BE1870"/>
    <w:rsid w:val="557E41CD"/>
    <w:rsid w:val="57A26C6F"/>
    <w:rsid w:val="57A47613"/>
    <w:rsid w:val="5966506E"/>
    <w:rsid w:val="59761BA9"/>
    <w:rsid w:val="5B8247AD"/>
    <w:rsid w:val="5DDA7107"/>
    <w:rsid w:val="5E4647B1"/>
    <w:rsid w:val="5FA04E1F"/>
    <w:rsid w:val="5FC6594D"/>
    <w:rsid w:val="60E05B3D"/>
    <w:rsid w:val="62503D99"/>
    <w:rsid w:val="631B1778"/>
    <w:rsid w:val="642705C1"/>
    <w:rsid w:val="657038D9"/>
    <w:rsid w:val="66895538"/>
    <w:rsid w:val="676D3727"/>
    <w:rsid w:val="69D1193E"/>
    <w:rsid w:val="6AD80A32"/>
    <w:rsid w:val="6E863421"/>
    <w:rsid w:val="70C54A6B"/>
    <w:rsid w:val="71B92164"/>
    <w:rsid w:val="721D6DAF"/>
    <w:rsid w:val="728C5C5D"/>
    <w:rsid w:val="729B2CA6"/>
    <w:rsid w:val="73314E5B"/>
    <w:rsid w:val="74C9421C"/>
    <w:rsid w:val="78C30A2E"/>
    <w:rsid w:val="795559D4"/>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4152</Words>
  <Characters>4380</Characters>
  <Lines>0</Lines>
  <Paragraphs>0</Paragraphs>
  <TotalTime>9</TotalTime>
  <ScaleCrop>false</ScaleCrop>
  <LinksUpToDate>false</LinksUpToDate>
  <CharactersWithSpaces>4407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2025-06-11T03:14:19Z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