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bookmarkEnd w:id="0"/>
    <w:p w14:paraId="3B785B28">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中山市板芙医院身高体重称采购项目</w:t>
      </w:r>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中山市板芙医院现对中山市板芙医院身高体重称采购项目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中山市板芙医院身高体重称采购项目</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20,000.00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98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4"/>
        <w:gridCol w:w="1861"/>
        <w:gridCol w:w="2054"/>
        <w:gridCol w:w="1957"/>
        <w:gridCol w:w="2064"/>
      </w:tblGrid>
      <w:tr w14:paraId="3EFB4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971" w:type="pct"/>
            <w:noWrap w:val="0"/>
            <w:vAlign w:val="center"/>
          </w:tcPr>
          <w:p w14:paraId="7E2221AD">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944" w:type="pct"/>
            <w:noWrap w:val="0"/>
            <w:vAlign w:val="center"/>
          </w:tcPr>
          <w:p w14:paraId="3C8A8184">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数量（单位）</w:t>
            </w:r>
          </w:p>
        </w:tc>
        <w:tc>
          <w:tcPr>
            <w:tcW w:w="1042" w:type="pct"/>
            <w:noWrap w:val="0"/>
            <w:vAlign w:val="center"/>
          </w:tcPr>
          <w:p w14:paraId="0DD7838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993" w:type="pct"/>
            <w:noWrap w:val="0"/>
            <w:vAlign w:val="center"/>
          </w:tcPr>
          <w:p w14:paraId="7130E00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1047" w:type="pct"/>
            <w:noWrap w:val="0"/>
            <w:vAlign w:val="center"/>
          </w:tcPr>
          <w:p w14:paraId="74A1D594">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62A4B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971" w:type="pct"/>
            <w:noWrap w:val="0"/>
            <w:vAlign w:val="center"/>
          </w:tcPr>
          <w:p w14:paraId="2FDE4272">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身高体重称</w:t>
            </w:r>
          </w:p>
        </w:tc>
        <w:tc>
          <w:tcPr>
            <w:tcW w:w="944" w:type="pct"/>
            <w:noWrap w:val="0"/>
            <w:vAlign w:val="center"/>
          </w:tcPr>
          <w:p w14:paraId="555EBC7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台</w:t>
            </w:r>
          </w:p>
        </w:tc>
        <w:tc>
          <w:tcPr>
            <w:tcW w:w="1042" w:type="pct"/>
            <w:noWrap w:val="0"/>
            <w:vAlign w:val="center"/>
          </w:tcPr>
          <w:p w14:paraId="602EF0CD">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20,000.00</w:t>
            </w:r>
          </w:p>
        </w:tc>
        <w:tc>
          <w:tcPr>
            <w:tcW w:w="993" w:type="pct"/>
            <w:noWrap w:val="0"/>
            <w:vAlign w:val="center"/>
          </w:tcPr>
          <w:p w14:paraId="252FAE7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20,000.00</w:t>
            </w:r>
            <w:bookmarkStart w:id="1" w:name="_GoBack"/>
            <w:bookmarkEnd w:id="1"/>
          </w:p>
        </w:tc>
        <w:tc>
          <w:tcPr>
            <w:tcW w:w="1047" w:type="pct"/>
            <w:noWrap w:val="0"/>
            <w:vAlign w:val="center"/>
          </w:tcPr>
          <w:p w14:paraId="0B5E8516">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33479F7A">
      <w:pPr>
        <w:keepNext w:val="0"/>
        <w:keepLines w:val="0"/>
        <w:pageBreakBefore w:val="0"/>
        <w:widowControl/>
        <w:numPr>
          <w:ilvl w:val="0"/>
          <w:numId w:val="0"/>
        </w:numPr>
        <w:suppressLineNumbers w:val="0"/>
        <w:kinsoku/>
        <w:overflowPunct/>
        <w:topLinePunct w:val="0"/>
        <w:bidi w:val="0"/>
        <w:spacing w:line="360" w:lineRule="exact"/>
        <w:ind w:firstLine="422" w:firstLineChars="200"/>
        <w:jc w:val="both"/>
        <w:textAlignment w:val="center"/>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四、采购需求书</w:t>
      </w:r>
    </w:p>
    <w:p w14:paraId="21ABB47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（一）用途</w:t>
      </w:r>
    </w:p>
    <w:p w14:paraId="5D844C14">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1.用于体重管理。</w:t>
      </w:r>
    </w:p>
    <w:p w14:paraId="572A716D">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（二）技术规格、参数及要求</w:t>
      </w:r>
    </w:p>
    <w:p w14:paraId="1CC5E38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1.测量范围：身高：70~200cm；允许误差：≤0.6cm；重量：5.0~200kg；允许误差：≤0.1kg。</w:t>
      </w:r>
    </w:p>
    <w:p w14:paraId="47893A2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2.显示屏：测量屏≥6.0英寸。</w:t>
      </w:r>
    </w:p>
    <w:p w14:paraId="381F7D63">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3.提供体质指数（BMI值）。</w:t>
      </w:r>
    </w:p>
    <w:p w14:paraId="09F94947">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4.语音提示测量步骤和测量结果。</w:t>
      </w:r>
    </w:p>
    <w:p w14:paraId="71A11FA2">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5.自动/手动测量模式。</w:t>
      </w:r>
    </w:p>
    <w:p w14:paraId="76226E11">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6.提供标准校正工具。</w:t>
      </w:r>
    </w:p>
    <w:p w14:paraId="569C1F0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highlight w:val="none"/>
          <w:lang w:val="en-US" w:eastAsia="zh-CN"/>
        </w:rPr>
      </w:pPr>
      <w:r>
        <w:rPr>
          <w:rFonts w:hint="eastAsia" w:ascii="宋体" w:hAnsi="宋体" w:cs="宋体"/>
          <w:i w:val="0"/>
          <w:iCs w:val="0"/>
          <w:color w:val="auto"/>
          <w:kern w:val="0"/>
          <w:sz w:val="21"/>
          <w:szCs w:val="21"/>
          <w:highlight w:val="none"/>
          <w:u w:val="none"/>
          <w:lang w:val="en-US" w:eastAsia="zh-CN" w:bidi="ar"/>
        </w:rPr>
        <w:t>（三）商务要求</w:t>
      </w:r>
    </w:p>
    <w:p w14:paraId="3D8317D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1.付款方式</w:t>
      </w:r>
    </w:p>
    <w:p w14:paraId="7C4852B5">
      <w:pPr>
        <w:keepNext w:val="0"/>
        <w:keepLines w:val="0"/>
        <w:pageBreakBefore w:val="0"/>
        <w:kinsoku/>
        <w:overflowPunct/>
        <w:topLinePunct w:val="0"/>
        <w:bidi w:val="0"/>
        <w:spacing w:line="360" w:lineRule="exact"/>
        <w:ind w:firstLine="420" w:firstLineChars="200"/>
        <w:jc w:val="left"/>
        <w:rPr>
          <w:rFonts w:hint="default" w:ascii="宋体" w:hAnsi="宋体" w:eastAsia="宋体" w:cs="Times New Roman"/>
          <w:bCs/>
          <w:color w:val="auto"/>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sz w:val="21"/>
          <w:szCs w:val="21"/>
          <w:highlight w:val="none"/>
          <w:lang w:val="en-US" w:eastAsia="zh-CN"/>
        </w:rPr>
        <w:t>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468856A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1.2合同签订后30天内交货，完成安装测试运行验收合格后第1个月内支付合同金额的95%，质量保证期满后第1个月内支付至合同金额的100%。</w:t>
      </w:r>
    </w:p>
    <w:p w14:paraId="7974328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2.验收标准和方法</w:t>
      </w:r>
    </w:p>
    <w:p w14:paraId="290BCE2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p>
    <w:p w14:paraId="2EE2BC2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验收时如发现所交付的设备有短装、次品、损坏或其它不符合本合同规定之情形者，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0E98A4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009C1B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4供应商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8390F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质量保证期不少于2年。</w:t>
      </w:r>
    </w:p>
    <w:p w14:paraId="71D2D4A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4.保密要求：双方合作中涉及的所有业务、技术资料，均有责任对第三方保密。如其中一方擅自将涉及另一方的商业和技术秘密的资料透漏给第三方，则另一方将保留追究对方法律责任的权利。</w:t>
      </w:r>
    </w:p>
    <w:p w14:paraId="512248B8">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安装调试及技术服务(含培训)要求</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负责对科室技术人员、操作人员进行免费业务培训，培训内容包括设备操作、设备维护、专业知识等，培训保证技术人员、操作人员能够掌握并独立操作为止。</w:t>
      </w:r>
    </w:p>
    <w:p w14:paraId="61C0B34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售后服务的要求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维修保修期满,</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终身提供维修服务，不收取上门费,只收取配件等相关成本费用。仪器出现问题，</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在接到</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电话通知后，立即提供电话指导,如无法远程解决，</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工程师在接到院方电话后24小时内提供解决方案,并负责设备的维修。</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6C7C61D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37AE80B9">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1053B19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75251ADB">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1F175CA1">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BD77AD8">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29D39143">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26F627E2">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03C80D7B">
      <w:pPr>
        <w:keepNext w:val="0"/>
        <w:keepLines w:val="0"/>
        <w:pageBreakBefore w:val="0"/>
        <w:numPr>
          <w:ilvl w:val="0"/>
          <w:numId w:val="0"/>
        </w:numPr>
        <w:kinsoku/>
        <w:wordWrap/>
        <w:overflowPunct/>
        <w:topLinePunct w:val="0"/>
        <w:bidi w:val="0"/>
        <w:spacing w:line="360" w:lineRule="exact"/>
        <w:ind w:firstLine="420" w:firstLineChars="200"/>
        <w:jc w:val="both"/>
        <w:rPr>
          <w:rFonts w:hint="default"/>
          <w:lang w:val="en-US"/>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副本一起封装。</w:t>
      </w:r>
    </w:p>
    <w:p w14:paraId="4ECECC1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470F9077">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C09DF5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文件规定（</w:t>
      </w:r>
      <w:r>
        <w:rPr>
          <w:rFonts w:hint="eastAsia" w:ascii="宋体" w:hAnsi="宋体" w:eastAsia="宋体" w:cs="宋体"/>
          <w:b/>
          <w:bCs w:val="0"/>
          <w:color w:val="auto"/>
          <w:sz w:val="21"/>
          <w:szCs w:val="21"/>
          <w:highlight w:val="none"/>
          <w:lang w:val="en-US" w:eastAsia="zh-CN"/>
        </w:rPr>
        <w:t>以</w:t>
      </w:r>
      <w:r>
        <w:rPr>
          <w:rFonts w:hint="eastAsia" w:ascii="宋体" w:hAnsi="宋体" w:cs="宋体"/>
          <w:b/>
          <w:bCs w:val="0"/>
          <w:color w:val="auto"/>
          <w:sz w:val="21"/>
          <w:szCs w:val="21"/>
          <w:highlight w:val="none"/>
          <w:lang w:val="en-US" w:eastAsia="zh-CN"/>
        </w:rPr>
        <w:t>附件2参选</w:t>
      </w:r>
      <w:r>
        <w:rPr>
          <w:rFonts w:hint="eastAsia" w:ascii="宋体" w:hAnsi="宋体" w:eastAsia="宋体" w:cs="宋体"/>
          <w:b/>
          <w:bCs w:val="0"/>
          <w:color w:val="auto"/>
          <w:sz w:val="21"/>
          <w:szCs w:val="21"/>
          <w:highlight w:val="none"/>
          <w:lang w:val="en-US" w:eastAsia="zh-CN"/>
        </w:rPr>
        <w:t>文件格式为准</w:t>
      </w:r>
      <w:r>
        <w:rPr>
          <w:rFonts w:hint="eastAsia" w:ascii="宋体" w:hAnsi="宋体" w:eastAsia="宋体" w:cs="宋体"/>
          <w:bCs/>
          <w:color w:val="auto"/>
          <w:sz w:val="21"/>
          <w:szCs w:val="21"/>
          <w:highlight w:val="none"/>
          <w:lang w:val="en-US" w:eastAsia="zh-CN"/>
        </w:rPr>
        <w:t>）加盖公章和签署</w:t>
      </w:r>
      <w:r>
        <w:rPr>
          <w:rFonts w:hint="eastAsia" w:ascii="宋体" w:hAnsi="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highlight w:val="none"/>
          <w:lang w:val="en-US" w:eastAsia="zh-CN" w:bidi="ar"/>
        </w:rPr>
        <w:t>3.</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4.参选文件主要资料齐全；</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6.满足采购</w:t>
      </w:r>
      <w:r>
        <w:rPr>
          <w:rFonts w:hint="default" w:ascii="宋体" w:hAnsi="宋体" w:cs="宋体"/>
          <w:bCs/>
          <w:color w:val="auto"/>
          <w:sz w:val="21"/>
          <w:szCs w:val="21"/>
          <w:highlight w:val="none"/>
          <w:lang w:val="en-US" w:eastAsia="zh-CN"/>
        </w:rPr>
        <w:t>文件中所有带“★”标识的实质性条款</w:t>
      </w:r>
      <w:r>
        <w:rPr>
          <w:rFonts w:hint="eastAsia" w:ascii="宋体" w:hAnsi="宋体" w:eastAsia="宋体" w:cs="宋体"/>
          <w:color w:val="auto"/>
          <w:sz w:val="21"/>
          <w:szCs w:val="21"/>
          <w:highlight w:val="none"/>
          <w:lang w:val="en-US" w:eastAsia="zh-CN"/>
        </w:rPr>
        <w:t>（如有）</w:t>
      </w:r>
      <w:r>
        <w:rPr>
          <w:rFonts w:hint="eastAsia" w:ascii="宋体" w:hAnsi="宋体" w:cs="宋体"/>
          <w:bCs/>
          <w:color w:val="auto"/>
          <w:sz w:val="21"/>
          <w:szCs w:val="21"/>
          <w:highlight w:val="none"/>
          <w:lang w:val="en-US" w:eastAsia="zh-CN"/>
        </w:rPr>
        <w:t>；</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.响应报价</w:t>
      </w:r>
      <w:r>
        <w:rPr>
          <w:rFonts w:hint="eastAsia" w:ascii="宋体" w:hAnsi="宋体" w:cs="宋体"/>
          <w:bCs/>
          <w:color w:val="auto"/>
          <w:sz w:val="21"/>
          <w:szCs w:val="21"/>
          <w:highlight w:val="none"/>
          <w:lang w:val="en-US" w:eastAsia="zh-CN"/>
        </w:rPr>
        <w:t>未超过</w:t>
      </w:r>
      <w:r>
        <w:rPr>
          <w:rFonts w:hint="eastAsia" w:ascii="宋体" w:hAnsi="宋体" w:eastAsia="宋体" w:cs="宋体"/>
          <w:bCs/>
          <w:color w:val="auto"/>
          <w:sz w:val="21"/>
          <w:szCs w:val="21"/>
          <w:highlight w:val="none"/>
          <w:lang w:val="en-US" w:eastAsia="zh-CN"/>
        </w:rPr>
        <w:t>采购预算金额的。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25"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3"/>
        <w:gridCol w:w="1623"/>
        <w:gridCol w:w="7073"/>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none"/>
              </w:rPr>
            </w:pPr>
            <w:r>
              <w:rPr>
                <w:rStyle w:val="18"/>
                <w:rFonts w:hint="eastAsia" w:ascii="宋体" w:hAnsi="宋体" w:eastAsia="宋体" w:cs="宋体"/>
                <w:color w:val="333333"/>
                <w:sz w:val="21"/>
                <w:szCs w:val="21"/>
                <w:highlight w:val="none"/>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highlight w:val="none"/>
                <w:lang w:eastAsia="zh-CN"/>
              </w:rPr>
            </w:pPr>
            <w:r>
              <w:rPr>
                <w:rStyle w:val="18"/>
                <w:rFonts w:hint="eastAsia" w:ascii="宋体" w:hAnsi="宋体" w:eastAsia="宋体" w:cs="宋体"/>
                <w:color w:val="333333"/>
                <w:sz w:val="21"/>
                <w:szCs w:val="21"/>
                <w:highlight w:val="none"/>
                <w:lang w:eastAsia="zh-CN"/>
              </w:rPr>
              <w:t>评审项目</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highlight w:val="none"/>
              </w:rPr>
            </w:pPr>
            <w:r>
              <w:rPr>
                <w:rStyle w:val="18"/>
                <w:rFonts w:hint="eastAsia" w:ascii="宋体" w:hAnsi="宋体" w:eastAsia="宋体" w:cs="宋体"/>
                <w:color w:val="333333"/>
                <w:sz w:val="21"/>
                <w:szCs w:val="21"/>
                <w:highlight w:val="none"/>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168313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w:t>
            </w:r>
            <w:r>
              <w:rPr>
                <w:rFonts w:hint="eastAsia" w:ascii="宋体" w:hAnsi="宋体" w:cs="宋体"/>
                <w:i w:val="0"/>
                <w:iCs w:val="0"/>
                <w:color w:val="auto"/>
                <w:kern w:val="0"/>
                <w:sz w:val="21"/>
                <w:szCs w:val="21"/>
                <w:highlight w:val="none"/>
                <w:u w:val="none"/>
                <w:lang w:val="en-US" w:eastAsia="zh-CN" w:bidi="ar"/>
              </w:rPr>
              <w:t>采购需求书</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rPr>
              <w:t>响应程度</w:t>
            </w:r>
          </w:p>
          <w:p w14:paraId="79ACBBB9">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left"/>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40355E5">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四、采购</w:t>
            </w:r>
            <w:r>
              <w:rPr>
                <w:rFonts w:hint="eastAsia" w:ascii="宋体" w:hAnsi="宋体" w:eastAsia="宋体" w:cs="宋体"/>
                <w:color w:val="auto"/>
                <w:szCs w:val="21"/>
                <w:highlight w:val="none"/>
              </w:rPr>
              <w:t>需求书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下列的（一）、（二）、（三）的所有条款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45</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评审分数按以下公式进行计算：优于或完全响应的条款数量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45</w:t>
            </w:r>
            <w:r>
              <w:rPr>
                <w:rFonts w:hint="eastAsia" w:ascii="宋体" w:hAnsi="宋体" w:eastAsia="宋体" w:cs="宋体"/>
                <w:color w:val="auto"/>
                <w:szCs w:val="21"/>
                <w:highlight w:val="none"/>
              </w:rPr>
              <w:t>=一般条款响应程度得分（按四舍五入保留两位）。）</w:t>
            </w:r>
          </w:p>
          <w:p w14:paraId="2ECA49F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yellow"/>
                <w:lang w:eastAsia="zh-CN"/>
              </w:rPr>
            </w:pPr>
            <w:r>
              <w:rPr>
                <w:rFonts w:hint="eastAsia" w:ascii="宋体" w:hAnsi="宋体" w:cs="宋体"/>
                <w:b/>
                <w:bCs w:val="0"/>
                <w:color w:val="auto"/>
                <w:szCs w:val="21"/>
                <w:highlight w:val="none"/>
                <w:lang w:val="en-US" w:eastAsia="zh-CN"/>
              </w:rPr>
              <w:t>注：本项满分为45分，以采购需求书中要求提供（如有）的证明材料作为评审依据，未按要求提供不得分。</w:t>
            </w:r>
          </w:p>
        </w:tc>
      </w:tr>
      <w:tr w14:paraId="267153E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013901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A703C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总体实施方案 </w:t>
            </w:r>
          </w:p>
          <w:p w14:paraId="4D1A8B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89FF9C8">
            <w:pPr>
              <w:pStyle w:val="25"/>
              <w:jc w:val="left"/>
              <w:rPr>
                <w:sz w:val="21"/>
                <w:szCs w:val="21"/>
                <w:highlight w:val="none"/>
              </w:rPr>
            </w:pPr>
            <w:r>
              <w:rPr>
                <w:sz w:val="21"/>
                <w:szCs w:val="21"/>
                <w:highlight w:val="none"/>
              </w:rPr>
              <w:t>根据</w:t>
            </w:r>
            <w:r>
              <w:rPr>
                <w:rFonts w:hint="eastAsia"/>
                <w:sz w:val="21"/>
                <w:szCs w:val="21"/>
                <w:highlight w:val="none"/>
                <w:lang w:eastAsia="zh-CN"/>
              </w:rPr>
              <w:t>供应商</w:t>
            </w:r>
            <w:r>
              <w:rPr>
                <w:sz w:val="21"/>
                <w:szCs w:val="21"/>
                <w:highlight w:val="none"/>
              </w:rPr>
              <w:t xml:space="preserve">提供的总体实施方案（包括但不限于：服务目标达成措施、服务计划、具体执行措施等）进行评审： </w:t>
            </w:r>
          </w:p>
          <w:p w14:paraId="7696BB15">
            <w:pPr>
              <w:pStyle w:val="25"/>
              <w:numPr>
                <w:ilvl w:val="0"/>
                <w:numId w:val="0"/>
              </w:numPr>
              <w:jc w:val="left"/>
              <w:rPr>
                <w:sz w:val="21"/>
                <w:szCs w:val="21"/>
                <w:highlight w:val="none"/>
              </w:rPr>
            </w:pPr>
            <w:r>
              <w:rPr>
                <w:rFonts w:hint="eastAsia"/>
                <w:sz w:val="21"/>
                <w:szCs w:val="21"/>
                <w:highlight w:val="none"/>
                <w:lang w:val="en-US" w:eastAsia="zh-CN"/>
              </w:rPr>
              <w:t>1.</w:t>
            </w:r>
            <w:r>
              <w:rPr>
                <w:sz w:val="21"/>
                <w:szCs w:val="21"/>
                <w:highlight w:val="none"/>
              </w:rPr>
              <w:t>服务目标达成措施清晰明确，服务计划详尽，执行方案（包括流程、制度等，下同）可操作性强的，得</w:t>
            </w:r>
            <w:r>
              <w:rPr>
                <w:rFonts w:hint="eastAsia"/>
                <w:sz w:val="21"/>
                <w:szCs w:val="21"/>
                <w:highlight w:val="none"/>
                <w:lang w:val="en-US" w:eastAsia="zh-CN"/>
              </w:rPr>
              <w:t>15</w:t>
            </w:r>
            <w:r>
              <w:rPr>
                <w:sz w:val="21"/>
                <w:szCs w:val="21"/>
                <w:highlight w:val="none"/>
              </w:rPr>
              <w:t>分；</w:t>
            </w:r>
          </w:p>
          <w:p w14:paraId="3BED19A9">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2.</w:t>
            </w:r>
            <w:r>
              <w:rPr>
                <w:sz w:val="21"/>
                <w:szCs w:val="21"/>
                <w:highlight w:val="none"/>
              </w:rPr>
              <w:t>服务目标达成措施较为明确，服务计划较为详尽，执行方案可操作性较强的，得</w:t>
            </w:r>
            <w:r>
              <w:rPr>
                <w:rFonts w:hint="eastAsia"/>
                <w:sz w:val="21"/>
                <w:szCs w:val="21"/>
                <w:highlight w:val="none"/>
                <w:lang w:val="en-US" w:eastAsia="zh-CN"/>
              </w:rPr>
              <w:t>11</w:t>
            </w:r>
            <w:r>
              <w:rPr>
                <w:sz w:val="21"/>
                <w:szCs w:val="21"/>
                <w:highlight w:val="none"/>
              </w:rPr>
              <w:t>分；</w:t>
            </w:r>
          </w:p>
          <w:p w14:paraId="1A310166">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3.</w:t>
            </w:r>
            <w:r>
              <w:rPr>
                <w:sz w:val="21"/>
                <w:szCs w:val="21"/>
                <w:highlight w:val="none"/>
              </w:rPr>
              <w:t>服务目标达成措施不明确，服务计划简单粗略，执行方案可操作性较弱的，得</w:t>
            </w:r>
            <w:r>
              <w:rPr>
                <w:rFonts w:hint="eastAsia"/>
                <w:sz w:val="21"/>
                <w:szCs w:val="21"/>
                <w:highlight w:val="none"/>
                <w:lang w:val="en-US" w:eastAsia="zh-CN"/>
              </w:rPr>
              <w:t>7</w:t>
            </w:r>
            <w:r>
              <w:rPr>
                <w:sz w:val="21"/>
                <w:szCs w:val="21"/>
                <w:highlight w:val="none"/>
              </w:rPr>
              <w:t>分；</w:t>
            </w:r>
          </w:p>
          <w:p w14:paraId="20D9D21B">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4.</w:t>
            </w:r>
            <w:r>
              <w:rPr>
                <w:sz w:val="21"/>
                <w:szCs w:val="21"/>
                <w:highlight w:val="none"/>
              </w:rPr>
              <w:t>服务目标达成措施模糊，服务计划缺失，执行方案可操作性差的，得</w:t>
            </w:r>
            <w:r>
              <w:rPr>
                <w:rFonts w:hint="eastAsia"/>
                <w:sz w:val="21"/>
                <w:szCs w:val="21"/>
                <w:highlight w:val="none"/>
                <w:lang w:val="en-US" w:eastAsia="zh-CN"/>
              </w:rPr>
              <w:t>3</w:t>
            </w:r>
            <w:r>
              <w:rPr>
                <w:sz w:val="21"/>
                <w:szCs w:val="21"/>
                <w:highlight w:val="none"/>
              </w:rPr>
              <w:t>分；</w:t>
            </w:r>
          </w:p>
          <w:p w14:paraId="4958E5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yellow"/>
                <w:lang w:val="zh-CN" w:eastAsia="zh-CN" w:bidi="ar-SA"/>
              </w:rPr>
            </w:pPr>
            <w:r>
              <w:rPr>
                <w:rFonts w:hint="eastAsia"/>
                <w:sz w:val="21"/>
                <w:szCs w:val="21"/>
                <w:highlight w:val="none"/>
                <w:lang w:val="en-US" w:eastAsia="zh-CN"/>
              </w:rPr>
              <w:t>5.</w:t>
            </w:r>
            <w:r>
              <w:rPr>
                <w:sz w:val="21"/>
                <w:szCs w:val="21"/>
                <w:highlight w:val="none"/>
              </w:rPr>
              <w:t>未提供相关内容阐述的，不得分。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4A48A04A">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安装实施规范、测试验收标准 (</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A3E0B5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安装实施规范、测试验收标准是否考虑项目实际情况详尽合理、科学、可行。</w:t>
            </w:r>
          </w:p>
          <w:p w14:paraId="32346268">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安装、检测、验收计划条理清晰，脉络分明，操作性强的得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14:paraId="6512A367">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安装、检测、验收计划条理较清晰，脉络较分明，操作性较强的得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14:paraId="537F78C5">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安装、检测、验收计划条理模糊，操作性一般的得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1434FAE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安装、检测、验收计划条理混乱，脉络不分明，操作性差的得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097A8D23">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5.不提供得0分。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48426A0">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652FB295">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根据供应商的售后服务承诺方案进行评审（包括安装调试、验收方案、质保期、维护保养、培训等内容）：</w:t>
            </w:r>
          </w:p>
          <w:p w14:paraId="7920C0D7">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承诺的质量保证期明确，优于</w:t>
            </w:r>
            <w:r>
              <w:rPr>
                <w:rFonts w:hint="eastAsia" w:ascii="宋体" w:hAnsi="宋体" w:eastAsia="宋体" w:cs="宋体"/>
                <w:sz w:val="21"/>
                <w:szCs w:val="21"/>
                <w:highlight w:val="none"/>
                <w:lang w:eastAsia="zh-CN"/>
              </w:rPr>
              <w:t>比选</w:t>
            </w:r>
            <w:r>
              <w:rPr>
                <w:rFonts w:hint="eastAsia" w:ascii="宋体" w:hAnsi="宋体" w:cs="宋体"/>
                <w:sz w:val="21"/>
                <w:szCs w:val="21"/>
                <w:highlight w:val="none"/>
                <w:lang w:val="en-US" w:eastAsia="zh-CN"/>
              </w:rPr>
              <w:t>文件</w:t>
            </w:r>
            <w:r>
              <w:rPr>
                <w:rFonts w:hint="eastAsia" w:ascii="宋体" w:hAnsi="宋体" w:eastAsia="宋体" w:cs="宋体"/>
                <w:sz w:val="21"/>
                <w:szCs w:val="21"/>
                <w:highlight w:val="none"/>
              </w:rPr>
              <w:t>要求，售后服务内容详细、可行、操作性强，售后服务专业、解决问题效率高，服务响应到场时间短，零配件供应详细、合理，切合实际，完全响应并满足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 xml:space="preserve">分； </w:t>
            </w:r>
          </w:p>
          <w:p w14:paraId="6F539EEB">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承诺的质量保证期明确，满足</w:t>
            </w:r>
            <w:r>
              <w:rPr>
                <w:rFonts w:hint="eastAsia" w:ascii="宋体" w:hAnsi="宋体" w:eastAsia="宋体" w:cs="宋体"/>
                <w:sz w:val="21"/>
                <w:szCs w:val="21"/>
                <w:highlight w:val="none"/>
                <w:lang w:eastAsia="zh-CN"/>
              </w:rPr>
              <w:t>比选</w:t>
            </w:r>
            <w:r>
              <w:rPr>
                <w:rFonts w:hint="eastAsia" w:ascii="宋体" w:hAnsi="宋体" w:cs="宋体"/>
                <w:sz w:val="21"/>
                <w:szCs w:val="21"/>
                <w:highlight w:val="none"/>
                <w:lang w:val="en-US" w:eastAsia="zh-CN"/>
              </w:rPr>
              <w:t>文件</w:t>
            </w:r>
            <w:r>
              <w:rPr>
                <w:rFonts w:hint="eastAsia" w:ascii="宋体" w:hAnsi="宋体" w:eastAsia="宋体" w:cs="宋体"/>
                <w:sz w:val="21"/>
                <w:szCs w:val="21"/>
                <w:highlight w:val="none"/>
              </w:rPr>
              <w:t>要求，售后服务内容较详细、可行，售后服务较专业、解决问题效率较高，服务响应到场时间较短，零配件供应较详细、合理，较能满足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 xml:space="preserve">分； </w:t>
            </w:r>
          </w:p>
          <w:p w14:paraId="27651AB8">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承诺的质量保证期基本明确，售后服务内容简单，解决问题效率一般，服务响应到场时间较长，零配件供应不详尽，不能完全响应</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 xml:space="preserve">分； </w:t>
            </w:r>
          </w:p>
          <w:p w14:paraId="6218BEBD">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售后服务内容、质量保证期模糊不清，售后服务差，服务响应到场时间等不满足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lang w:eastAsia="zh-CN"/>
              </w:rPr>
              <w:t>或</w:t>
            </w:r>
            <w:r>
              <w:rPr>
                <w:rFonts w:hint="eastAsia" w:ascii="宋体" w:hAnsi="宋体" w:eastAsia="宋体" w:cs="宋体"/>
                <w:sz w:val="21"/>
                <w:szCs w:val="21"/>
                <w:highlight w:val="none"/>
              </w:rPr>
              <w:t>不提供方案</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6124B1CC">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不提供得0分。</w:t>
            </w:r>
          </w:p>
          <w:p w14:paraId="1A0574E4">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val="en-US" w:eastAsia="zh-CN"/>
              </w:rPr>
            </w:pP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40EDB84C">
      <w:pPr>
        <w:keepNext w:val="0"/>
        <w:keepLines w:val="0"/>
        <w:pageBreakBefore w:val="0"/>
        <w:kinsoku/>
        <w:wordWrap/>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68206B8D">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eastAsia="zh-CN"/>
        </w:rPr>
        <w:t>中山市板芙医院</w:t>
      </w:r>
      <w:r>
        <w:rPr>
          <w:rFonts w:hint="eastAsia" w:ascii="宋体" w:hAnsi="宋体" w:eastAsia="宋体" w:cs="宋体"/>
          <w:b/>
          <w:bCs w:val="0"/>
          <w:color w:val="auto"/>
          <w:sz w:val="21"/>
          <w:szCs w:val="21"/>
          <w:highlight w:val="none"/>
          <w:lang w:val="en-US" w:eastAsia="zh-CN"/>
        </w:rPr>
        <w:t xml:space="preserve">  </w:t>
      </w:r>
    </w:p>
    <w:p w14:paraId="7043F542">
      <w:pPr>
        <w:keepNext w:val="0"/>
        <w:keepLines w:val="0"/>
        <w:pageBreakBefore w:val="0"/>
        <w:tabs>
          <w:tab w:val="left" w:pos="567"/>
          <w:tab w:val="left" w:pos="1133"/>
        </w:tabs>
        <w:kinsoku/>
        <w:wordWrap/>
        <w:overflowPunct/>
        <w:topLinePunct w:val="0"/>
        <w:autoSpaceDE w:val="0"/>
        <w:autoSpaceDN w:val="0"/>
        <w:bidi w:val="0"/>
        <w:spacing w:line="360" w:lineRule="exact"/>
        <w:ind w:firstLine="8011" w:firstLineChars="3800"/>
        <w:jc w:val="both"/>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12</w:t>
      </w:r>
      <w:r>
        <w:rPr>
          <w:rFonts w:hint="eastAsia" w:ascii="宋体" w:hAnsi="宋体" w:eastAsia="宋体" w:cs="宋体"/>
          <w:b/>
          <w:bCs w:val="0"/>
          <w:color w:val="auto"/>
          <w:sz w:val="21"/>
          <w:szCs w:val="21"/>
          <w:highlight w:val="none"/>
        </w:rPr>
        <w:t>日</w:t>
      </w:r>
      <w:r>
        <w:rPr>
          <w:rFonts w:hint="eastAsia" w:ascii="宋体" w:hAnsi="宋体" w:eastAsia="宋体" w:cs="宋体"/>
          <w:b/>
          <w:bCs w:val="0"/>
          <w:color w:val="auto"/>
          <w:sz w:val="21"/>
          <w:szCs w:val="21"/>
          <w:highlight w:val="none"/>
          <w:lang w:val="en-US" w:eastAsia="zh-CN"/>
        </w:rPr>
        <w:t xml:space="preserve"> </w:t>
      </w: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0F0206F"/>
    <w:rsid w:val="0120118E"/>
    <w:rsid w:val="013C7F41"/>
    <w:rsid w:val="020A5FE5"/>
    <w:rsid w:val="020F48EF"/>
    <w:rsid w:val="02AD51D0"/>
    <w:rsid w:val="02E26315"/>
    <w:rsid w:val="074F28CD"/>
    <w:rsid w:val="075A0C9C"/>
    <w:rsid w:val="075D0E74"/>
    <w:rsid w:val="07F55026"/>
    <w:rsid w:val="088C3CD7"/>
    <w:rsid w:val="08B42162"/>
    <w:rsid w:val="0A552405"/>
    <w:rsid w:val="0B105E8F"/>
    <w:rsid w:val="0B5A71A0"/>
    <w:rsid w:val="0C1F4A47"/>
    <w:rsid w:val="0CF04619"/>
    <w:rsid w:val="0D303E96"/>
    <w:rsid w:val="0D5356A5"/>
    <w:rsid w:val="0F411E6B"/>
    <w:rsid w:val="10FD2C30"/>
    <w:rsid w:val="119B6DEE"/>
    <w:rsid w:val="11F2677F"/>
    <w:rsid w:val="120A5047"/>
    <w:rsid w:val="16AF68E3"/>
    <w:rsid w:val="17AD667F"/>
    <w:rsid w:val="186E2BE5"/>
    <w:rsid w:val="188E5849"/>
    <w:rsid w:val="19C23FFF"/>
    <w:rsid w:val="1B902BD0"/>
    <w:rsid w:val="1C1E65C0"/>
    <w:rsid w:val="1C72162A"/>
    <w:rsid w:val="1D1A254A"/>
    <w:rsid w:val="1DAB3FD6"/>
    <w:rsid w:val="21316930"/>
    <w:rsid w:val="219C3D3D"/>
    <w:rsid w:val="21E441D2"/>
    <w:rsid w:val="241A2687"/>
    <w:rsid w:val="253202CD"/>
    <w:rsid w:val="32301FF4"/>
    <w:rsid w:val="32862630"/>
    <w:rsid w:val="33AD6EE0"/>
    <w:rsid w:val="34D81478"/>
    <w:rsid w:val="3A822C5D"/>
    <w:rsid w:val="3AEB754D"/>
    <w:rsid w:val="3D476734"/>
    <w:rsid w:val="410F24F8"/>
    <w:rsid w:val="41B868E9"/>
    <w:rsid w:val="488A14A0"/>
    <w:rsid w:val="49FB0CA3"/>
    <w:rsid w:val="4AE91161"/>
    <w:rsid w:val="4BBB7188"/>
    <w:rsid w:val="4F183C27"/>
    <w:rsid w:val="4FA2515B"/>
    <w:rsid w:val="52D05187"/>
    <w:rsid w:val="53BE1870"/>
    <w:rsid w:val="54D23AF9"/>
    <w:rsid w:val="54F86C7C"/>
    <w:rsid w:val="557E41CD"/>
    <w:rsid w:val="57A26C6F"/>
    <w:rsid w:val="57A47613"/>
    <w:rsid w:val="5966506E"/>
    <w:rsid w:val="59761BA9"/>
    <w:rsid w:val="599E582F"/>
    <w:rsid w:val="5B8247AD"/>
    <w:rsid w:val="5DDA7107"/>
    <w:rsid w:val="5E4647B1"/>
    <w:rsid w:val="5FA04E1F"/>
    <w:rsid w:val="5FC6594D"/>
    <w:rsid w:val="62503D99"/>
    <w:rsid w:val="631B1778"/>
    <w:rsid w:val="642705C1"/>
    <w:rsid w:val="676D3727"/>
    <w:rsid w:val="69D1193E"/>
    <w:rsid w:val="6AD80A32"/>
    <w:rsid w:val="70C54A6B"/>
    <w:rsid w:val="711549C3"/>
    <w:rsid w:val="71B92164"/>
    <w:rsid w:val="721D6DAF"/>
    <w:rsid w:val="727C004D"/>
    <w:rsid w:val="728C5C5D"/>
    <w:rsid w:val="729B2CA6"/>
    <w:rsid w:val="73314E5B"/>
    <w:rsid w:val="74C9421C"/>
    <w:rsid w:val="75F12DC4"/>
    <w:rsid w:val="76436B9A"/>
    <w:rsid w:val="7882063E"/>
    <w:rsid w:val="78C30A2E"/>
    <w:rsid w:val="795559D4"/>
    <w:rsid w:val="7BAA7F65"/>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3839</Words>
  <Characters>4074</Characters>
  <Lines>0</Lines>
  <Paragraphs>0</Paragraphs>
  <TotalTime>1</TotalTime>
  <ScaleCrop>false</ScaleCrop>
  <LinksUpToDate>false</LinksUpToDate>
  <CharactersWithSpaces>4098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2025-06-11T00:21:00Z</cp:lastPrinted>
  <dcterms:modified xsi:type="dcterms:W3CDTF">2025-06-11T03:53:42Z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