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中山市南头镇人民政府行政处罚决定书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粤中南头执罚字〔2025〕45号</w:t>
      </w:r>
    </w:p>
    <w:p w14:paraId="5F22E33D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姓名：冯达匡</w:t>
      </w:r>
    </w:p>
    <w:p w14:paraId="58748DE0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仿宋_GB2312"/>
          <w:szCs w:val="30"/>
        </w:rPr>
        <w:t>44068119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bookmarkStart w:id="1" w:name="_GoBack"/>
      <w:bookmarkEnd w:id="1"/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3AB9509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Style w:val="24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：广东省佛山市顺德区</w:t>
      </w:r>
      <w:r>
        <w:rPr>
          <w:rFonts w:hint="eastAsia" w:ascii="Times New Roman" w:hAnsi="Times New Roman" w:eastAsia="仿宋_GB2312" w:cs="仿宋_GB2312"/>
          <w:kern w:val="2"/>
          <w:sz w:val="32"/>
          <w:szCs w:val="30"/>
          <w:lang w:val="en-US" w:eastAsia="zh-CN" w:bidi="ar-SA"/>
        </w:rPr>
        <w:t>***********</w:t>
      </w:r>
      <w:r>
        <w:rPr>
          <w:rFonts w:hint="eastAsia" w:ascii="Times New Roman" w:hAnsi="Times New Roman" w:cs="仿宋_GB2312"/>
          <w:szCs w:val="30"/>
        </w:rPr>
        <w:t>3座305号</w:t>
      </w:r>
    </w:p>
    <w:p w14:paraId="535B5FAD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2023年10月31日执法人员对中山市万图五金喷涂有限公司进行检查，现场检查发现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公司的生产车间有工人正在生产作业，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公司的生产工序中有酸洗、碱中和、清洗、磷化等工序，上述工序均需要办理环境影响评价文件，但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公司并未按规定办理环境影响评价文件，配套建设的环境保护设施未经验收建设项目即投入生产、使用。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公司存在未验先投的环境违法行为。</w:t>
      </w:r>
    </w:p>
    <w:p w14:paraId="6BBEDBC7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以上事实有2023年10月31日、2023年11月01日、2023年11月15日分别对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制作的现场检查笔录，询问笔录及现场图片和检测报告，2023年11月7日对</w:t>
      </w:r>
      <w:r>
        <w:rPr>
          <w:rFonts w:hint="eastAsia" w:ascii="Times New Roman" w:hAnsi="Times New Roman" w:cs="仿宋_GB2312"/>
          <w:szCs w:val="32"/>
          <w:lang w:val="en-US" w:eastAsia="zh-CN"/>
        </w:rPr>
        <w:t>你</w:t>
      </w:r>
      <w:r>
        <w:rPr>
          <w:rFonts w:ascii="Times New Roman" w:hAnsi="Times New Roman" w:cs="仿宋_GB2312"/>
          <w:szCs w:val="32"/>
        </w:rPr>
        <w:t>公司车间主管卢文峰制作的询问笔录等证据证实。</w:t>
      </w:r>
    </w:p>
    <w:p w14:paraId="3AEACD9F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上述行为违反了《建设项目环境保护管理条例》第十九条第一款“编制环境影响报告书、环境影响报告表的建设项目，其配套建设的环境保护设施经验收合格，方可投入生产或者使用；未经验收或者验收不合格的，不得投入生产或者使用”的规定。</w:t>
      </w:r>
    </w:p>
    <w:p w14:paraId="0B7BFCFB">
      <w:pPr>
        <w:pStyle w:val="42"/>
        <w:ind w:firstLine="640"/>
        <w:rPr>
          <w:rFonts w:ascii="Times New Roman" w:hAnsi="Times New Roman" w:cs="仿宋_GB2312"/>
          <w:szCs w:val="32"/>
        </w:rPr>
      </w:pPr>
      <w:r>
        <w:rPr>
          <w:rFonts w:hint="eastAsia"/>
        </w:rPr>
        <w:t>根据你（单位）违法行为的事实、性质、情节、社会危害程度和相关证据，按照《</w:t>
      </w:r>
      <w:r>
        <w:t>中山市生态环境领域行政处罚自由裁量表</w:t>
      </w:r>
      <w:r>
        <w:rPr>
          <w:rFonts w:hint="eastAsia"/>
        </w:rPr>
        <w:t>》，你（单位）的违法行为属于一般处罚裁量档次</w:t>
      </w:r>
      <w:r>
        <w:rPr>
          <w:rFonts w:hint="eastAsia"/>
          <w:lang w:eastAsia="zh-CN"/>
        </w:rPr>
        <w:t>。</w:t>
      </w:r>
    </w:p>
    <w:p w14:paraId="5CDF2AA5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cs="Times New Roman"/>
          <w:szCs w:val="32"/>
        </w:rPr>
        <w:t>本机关（单位）</w:t>
      </w:r>
      <w:r>
        <w:rPr>
          <w:rFonts w:hint="eastAsia" w:ascii="Times New Roman" w:hAnsi="Times New Roman" w:cs="仿宋_GB2312"/>
          <w:szCs w:val="32"/>
        </w:rPr>
        <w:t>于2025年4月25日向你送达了《行政处罚听证告知书》告知了拟作出的行政处罚内容及事实、理由、依据，告知依法享有的陈述、申辩权利，并告知你依法享有的要求听证权利，对此，</w:t>
      </w:r>
      <w:r>
        <w:rPr>
          <w:rStyle w:val="7"/>
          <w:rFonts w:ascii="Times New Roman" w:hAnsi="Times New Roman"/>
          <w:sz w:val="32"/>
          <w:szCs w:val="22"/>
        </w:rPr>
        <w:t>你未作陈述、申辩，且未提出听证申请。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根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”的规定，</w:t>
      </w:r>
      <w:r>
        <w:rPr>
          <w:rFonts w:hint="default" w:ascii="Times New Roman" w:hAnsi="Times New Roman" w:cs="仿宋_GB2312"/>
          <w:szCs w:val="30"/>
        </w:rPr>
        <w:t>对照《</w:t>
      </w:r>
      <w:r>
        <w:rPr>
          <w:rFonts w:hint="eastAsia" w:ascii="Times New Roman" w:hAnsi="Times New Roman" w:cs="仿宋_GB2312"/>
          <w:szCs w:val="30"/>
        </w:rPr>
        <w:t>中山市生态环境领域行政处罚自由裁量权规定</w:t>
      </w:r>
      <w:r>
        <w:rPr>
          <w:rFonts w:ascii="Times New Roman" w:hAnsi="Times New Roman" w:cs="仿宋_GB2312"/>
          <w:szCs w:val="30"/>
        </w:rPr>
        <w:t>》</w:t>
      </w:r>
      <w:r>
        <w:rPr>
          <w:rFonts w:hint="eastAsia" w:ascii="Times New Roman" w:hAnsi="Times New Roman" w:cs="仿宋_GB2312"/>
          <w:szCs w:val="30"/>
        </w:rPr>
        <w:t>中环〔2023〕106号</w:t>
      </w:r>
      <w:r>
        <w:rPr>
          <w:rFonts w:ascii="Times New Roman" w:hAnsi="Times New Roman" w:cs="仿宋_GB2312"/>
          <w:szCs w:val="30"/>
        </w:rPr>
        <w:t>《中山市生态环境领域行政处罚自由裁量表》</w:t>
      </w:r>
      <w:r>
        <w:rPr>
          <w:rFonts w:hint="eastAsia" w:ascii="Times New Roman" w:hAnsi="Times New Roman" w:cs="仿宋_GB2312"/>
          <w:szCs w:val="30"/>
        </w:rPr>
        <w:t>第</w:t>
      </w:r>
      <w:r>
        <w:rPr>
          <w:rFonts w:hint="eastAsia" w:ascii="Times New Roman" w:hAnsi="Times New Roman" w:cs="仿宋_GB2312"/>
          <w:szCs w:val="30"/>
          <w:lang w:val="en-US" w:eastAsia="zh-CN"/>
        </w:rPr>
        <w:t>一</w:t>
      </w:r>
      <w:r>
        <w:rPr>
          <w:rFonts w:hint="eastAsia" w:ascii="Times New Roman" w:hAnsi="Times New Roman" w:cs="仿宋_GB2312"/>
          <w:szCs w:val="30"/>
        </w:rPr>
        <w:t>章</w:t>
      </w:r>
      <w:r>
        <w:rPr>
          <w:rFonts w:hint="eastAsia" w:ascii="Times New Roman" w:hAnsi="Times New Roman" w:cs="仿宋_GB2312"/>
          <w:szCs w:val="30"/>
          <w:lang w:val="en-US" w:eastAsia="zh-CN"/>
        </w:rPr>
        <w:t>环评</w:t>
      </w:r>
      <w:r>
        <w:rPr>
          <w:rFonts w:hint="eastAsia" w:ascii="Times New Roman" w:hAnsi="Times New Roman" w:cs="仿宋_GB2312"/>
          <w:szCs w:val="30"/>
        </w:rPr>
        <w:t>类</w:t>
      </w:r>
      <w:r>
        <w:rPr>
          <w:rFonts w:hint="eastAsia" w:ascii="Times New Roman" w:hAnsi="Times New Roman" w:cs="仿宋_GB2312"/>
          <w:szCs w:val="30"/>
          <w:lang w:val="en-US" w:eastAsia="zh-CN"/>
        </w:rPr>
        <w:t>第八条裁量标准</w:t>
      </w:r>
      <w:r>
        <w:rPr>
          <w:rStyle w:val="7"/>
          <w:rFonts w:ascii="Times New Roman" w:hAnsi="Times New Roman"/>
          <w:sz w:val="32"/>
          <w:u w:color="auto"/>
        </w:rPr>
        <w:t>。本机关（单位）决定对你作出如下行政处罚：罚款人民币伍万元整（¥50000）。</w:t>
      </w:r>
    </w:p>
    <w:p w14:paraId="37B837A2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你应当自收到本决定书之日起15日内将罚款缴纳至</w:t>
      </w:r>
      <w:r>
        <w:rPr>
          <w:rFonts w:hint="eastAsia" w:ascii="Times New Roman" w:hAnsi="Times New Roman"/>
          <w:lang w:val="en-US" w:eastAsia="zh-CN"/>
        </w:rPr>
        <w:t>非税收入一般缴款书上所述银行</w:t>
      </w:r>
      <w:r>
        <w:rPr>
          <w:rFonts w:ascii="Times New Roman" w:hAnsi="Times New Roman"/>
        </w:rPr>
        <w:t>（详见）。到期不缴纳罚款的，依据《中华人民共和国行政处罚法》第七十二条第一款第一项的规定，每日按罚款数额的3%加处罚款，加处罚款的数额不超出罚款的数额。</w:t>
      </w:r>
    </w:p>
    <w:p w14:paraId="313B1639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4CA9C5D4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本机关（单位）将依法申请人民法院强制执行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28172F4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778F7FB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4408805</wp:posOffset>
            </wp:positionH>
            <wp:positionV relativeFrom="paragraph">
              <wp:posOffset>274320</wp:posOffset>
            </wp:positionV>
            <wp:extent cx="1440180" cy="1440180"/>
            <wp:effectExtent l="0" t="0" r="7620" b="762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A0FAA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中山市南头镇人民政府</w:t>
      </w:r>
    </w:p>
    <w:p w14:paraId="0C87B54B">
      <w:pPr>
        <w:pStyle w:val="39"/>
        <w:ind w:right="1760" w:rightChars="550" w:firstLine="0" w:firstLineChars="0"/>
        <w:jc w:val="right"/>
      </w:pPr>
      <w:r>
        <w:rPr>
          <w:rFonts w:hint="eastAsia"/>
        </w:rPr>
        <w:t>（印章）</w:t>
      </w:r>
    </w:p>
    <w:p w14:paraId="4D42AB21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122C1378"/>
    <w:rsid w:val="292960CE"/>
    <w:rsid w:val="3BF93D27"/>
    <w:rsid w:val="3E570712"/>
    <w:rsid w:val="7687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0b46fc3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3a385b9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footer5000dcbc"/>
    <w:basedOn w:val="1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3">
    <w:name w:val="Normal3316cb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Balloon Text3a3ebde8"/>
    <w:basedOn w:val="10"/>
    <w:link w:val="11"/>
    <w:semiHidden/>
    <w:unhideWhenUsed/>
    <w:qFormat/>
    <w:uiPriority w:val="99"/>
    <w:rPr>
      <w:sz w:val="18"/>
      <w:szCs w:val="18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header3cad7b2e"/>
    <w:basedOn w:val="13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7">
    <w:name w:val="annotation text122c503b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38b1f4db"/>
    <w:semiHidden/>
    <w:unhideWhenUsed/>
    <w:qFormat/>
    <w:uiPriority w:val="1"/>
  </w:style>
  <w:style w:type="table" w:customStyle="1" w:styleId="21">
    <w:name w:val="Normal Tableb333478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edf32384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bb2102ce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5f11f18c"/>
    <w:semiHidden/>
    <w:unhideWhenUsed/>
    <w:qFormat/>
    <w:uiPriority w:val="1"/>
  </w:style>
  <w:style w:type="table" w:customStyle="1" w:styleId="26">
    <w:name w:val="Normal Tableda77694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a88efbd4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634557d7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820ac185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e6310c11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ebead76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70941a1c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2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岑锦涛</cp:lastModifiedBy>
  <dcterms:modified xsi:type="dcterms:W3CDTF">2025-06-06T01:09:06Z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E6B5CD1F039948C0B7C48DA52851305E_13</vt:lpwstr>
  </property>
</Properties>
</file>