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6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  <w:lang w:val="en-US" w:eastAsia="zh-CN"/>
        </w:rPr>
        <w:t>兴业银行股份有限公司中山分行机构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  <w:lang w:val="en-US" w:eastAsia="zh-CN"/>
        </w:rPr>
        <w:t>客户营销部简要事迹</w:t>
      </w:r>
    </w:p>
    <w:bookmarkEnd w:id="0"/>
    <w:p>
      <w:pPr>
        <w:pStyle w:val="2"/>
        <w:rPr>
          <w:rFonts w:hint="default" w:ascii="Times New Roman" w:hAnsi="Times New Roman" w:cs="Times New Roman"/>
          <w:spacing w:val="6"/>
        </w:rPr>
      </w:pPr>
    </w:p>
    <w:p>
      <w:pPr>
        <w:pStyle w:val="2"/>
        <w:ind w:firstLine="664" w:firstLineChars="200"/>
        <w:rPr>
          <w:rFonts w:hint="default" w:ascii="Times New Roman" w:hAnsi="Times New Roman" w:cs="Times New Roman"/>
          <w:spacing w:val="6"/>
        </w:rPr>
      </w:pP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兴业银行股份有限公司中山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分行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机构客户营销部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兴业银行股份有限公司中山分行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lang w:val="en-US" w:eastAsia="zh-CN" w:bidi="ar-SA"/>
        </w:rPr>
        <w:t>的直属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营销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团队，现有成员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人。一直以来，在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兴业银行股份有限公司中山分行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的正确领导下，牢固树立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高质量发展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意识，以创一流工作、建一流团队为目标，以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机构业务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管理为载体，以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服务经济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目标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，在强化班组管理实效、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完成行内外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指标方面下功夫，出色地完成各项指标，为公司实现经营目标做出了积极贡献。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兴业银行股份有限公司中山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分行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机构客户营销部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坚持立足岗位抓质量，确定目标促发展，紧紧抓住“以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经济高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质量为中心”这一主线开展工作，不断提高班组的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业务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管理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lang w:val="en-US" w:eastAsia="zh-CN" w:bidi="ar-SA"/>
        </w:rPr>
        <w:t>及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金融服务水平，为新质生产力发展撬动金融资源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以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积极发展地区金融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为目标，积极寻求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服务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点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以金融精准支持关键领域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lang w:val="en-US" w:eastAsia="zh-CN" w:bidi="ar-SA"/>
        </w:rPr>
        <w:t>，全班上下团结一致以践行社会责任为己任。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兴业银行股份有限公司中山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分行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机构客户营销部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lang w:val="en-US" w:eastAsia="zh-CN" w:bidi="ar-SA"/>
        </w:rPr>
        <w:t>主办项目曾获东金融学会、广州市绿色金融协会颁发“绿色金融改革创新推广案例”；助力分行获共青团中山市委员会颁发“第四批新时代中山青年突击队”、东区街道残疾人联合会颁发“扶残助残爱心单位”、中山市工商业联合会颁发“服务实体经济企业奖”等荣誉。</w:t>
      </w:r>
    </w:p>
    <w:sectPr>
      <w:pgSz w:w="11906" w:h="16838"/>
      <w:pgMar w:top="2211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C72D2"/>
    <w:rsid w:val="231C72D2"/>
    <w:rsid w:val="77F6675E"/>
    <w:rsid w:val="AED7FADE"/>
    <w:rsid w:val="D9BB3B10"/>
    <w:rsid w:val="EFFFEDF8"/>
    <w:rsid w:val="F3EBC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仿宋_GB2312" w:cs="Arial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2025-05-22T16:40:00Z</dcterms:created>
  <dc:creator>WPS_1744110558</dc:creator>
  <cp:lastModifiedBy>user</cp:lastModifiedBy>
  <cp:lastPrinted>2025-05-23T09:34:50Z</cp:lastPrinted>
  <dcterms:modified xsi:type="dcterms:W3CDTF">2025-05-23T10:22:46Z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BC6D4B8C67868B0076D12F688197EDF5</vt:lpwstr>
  </property>
  <property fmtid="{D5CDD505-2E9C-101B-9397-08002B2CF9AE}" pid="4" name="KSOTemplateDocerSaveRecord">
    <vt:lpwstr>eyJoZGlkIjoiOTY2MmVlY2JkMmJkYjhlZjk4MDE1OTdjZDM2ZjQ1MDAiLCJ1c2VySWQiOiIxNjkyNjc5MzE4In0=</vt:lpwstr>
  </property>
</Properties>
</file>