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85C9">
      <w:pPr>
        <w:spacing w:line="574" w:lineRule="exact"/>
        <w:jc w:val="center"/>
        <w:rPr>
          <w:rFonts w:ascii="Times New Roman" w:hAnsi="Times New Roman" w:eastAsia="方正小标宋简体" w:cs="方正小标宋简体"/>
          <w:spacing w:val="-6"/>
          <w:sz w:val="44"/>
          <w:szCs w:val="44"/>
        </w:rPr>
      </w:pPr>
      <w:r>
        <w:rPr>
          <w:rFonts w:hint="eastAsia" w:ascii="Times New Roman" w:hAnsi="Times New Roman" w:eastAsia="方正小标宋简体" w:cs="方正小标宋简体"/>
          <w:spacing w:val="-6"/>
          <w:sz w:val="44"/>
          <w:szCs w:val="44"/>
        </w:rPr>
        <w:t>横栏镇三沙股份合作经济联合社工改项目</w:t>
      </w:r>
    </w:p>
    <w:p w14:paraId="154D69F2">
      <w:pPr>
        <w:spacing w:line="574" w:lineRule="exact"/>
        <w:jc w:val="center"/>
        <w:rPr>
          <w:rFonts w:ascii="Times New Roman" w:hAnsi="Times New Roman" w:eastAsia="方正小标宋简体" w:cs="方正小标宋简体"/>
          <w:spacing w:val="-6"/>
          <w:kern w:val="0"/>
          <w:sz w:val="44"/>
          <w:szCs w:val="44"/>
        </w:rPr>
      </w:pPr>
      <w:r>
        <w:rPr>
          <w:rFonts w:hint="eastAsia" w:ascii="Times New Roman" w:hAnsi="Times New Roman" w:eastAsia="方正小标宋简体" w:cs="方正小标宋简体"/>
          <w:spacing w:val="-6"/>
          <w:sz w:val="44"/>
          <w:szCs w:val="44"/>
        </w:rPr>
        <w:t>C地块“三旧”改造方案</w:t>
      </w:r>
    </w:p>
    <w:p w14:paraId="4EB9FF96">
      <w:pPr>
        <w:spacing w:line="574" w:lineRule="exact"/>
        <w:ind w:firstLine="924" w:firstLineChars="300"/>
        <w:rPr>
          <w:rFonts w:ascii="Times New Roman" w:hAnsi="Times New Roman" w:eastAsia="仿宋_GB2312" w:cs="仿宋_GB2312"/>
          <w:spacing w:val="-6"/>
          <w:kern w:val="0"/>
          <w:sz w:val="32"/>
          <w:szCs w:val="32"/>
        </w:rPr>
      </w:pPr>
    </w:p>
    <w:p w14:paraId="3AC9DE62">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sz w:val="32"/>
        </w:rPr>
        <w:t>根据中山市城市更新（“三旧”改造）专项规划和</w:t>
      </w:r>
      <w:r>
        <w:rPr>
          <w:rFonts w:hint="eastAsia" w:ascii="Times New Roman" w:hAnsi="Times New Roman" w:eastAsia="仿宋_GB2312" w:cs="仿宋_GB2312"/>
          <w:spacing w:val="-6"/>
          <w:sz w:val="32"/>
          <w:szCs w:val="32"/>
        </w:rPr>
        <w:t>单元规划</w:t>
      </w:r>
      <w:r>
        <w:rPr>
          <w:rFonts w:hint="eastAsia" w:ascii="Times New Roman" w:hAnsi="Times New Roman" w:eastAsia="仿宋_GB2312" w:cs="仿宋_GB2312"/>
          <w:spacing w:val="-6"/>
          <w:kern w:val="0"/>
          <w:sz w:val="32"/>
          <w:szCs w:val="32"/>
        </w:rPr>
        <w:t>，横栏镇政府拟对位于长安北路北侧的中山市横栏镇三沙股份合作经济联合社（下称“三沙股联社”）</w:t>
      </w:r>
      <w:r>
        <w:rPr>
          <w:rFonts w:hint="eastAsia" w:ascii="Times New Roman" w:hAnsi="Times New Roman" w:eastAsia="仿宋_GB2312" w:cs="仿宋_GB2312"/>
          <w:spacing w:val="-6"/>
          <w:sz w:val="32"/>
          <w:szCs w:val="32"/>
        </w:rPr>
        <w:t>的旧厂房</w:t>
      </w:r>
      <w:r>
        <w:rPr>
          <w:rFonts w:hint="eastAsia" w:ascii="Times New Roman" w:hAnsi="Times New Roman" w:eastAsia="仿宋_GB2312" w:cs="仿宋_GB2312"/>
          <w:spacing w:val="-6"/>
          <w:kern w:val="0"/>
          <w:sz w:val="32"/>
          <w:szCs w:val="32"/>
        </w:rPr>
        <w:t>用地进行改造，由三沙股联社自主改造，采取全面改造的改造方式。改造方案如下：</w:t>
      </w:r>
    </w:p>
    <w:p w14:paraId="789939CE">
      <w:pPr>
        <w:spacing w:line="574" w:lineRule="exact"/>
        <w:ind w:firstLine="616" w:firstLineChars="20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一、改造地块基本情况</w:t>
      </w:r>
    </w:p>
    <w:p w14:paraId="1E4DE8AF">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（一）总体情况。</w:t>
      </w:r>
    </w:p>
    <w:p w14:paraId="68A86F70">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仿宋_GB2312" w:cs="仿宋_GB2312"/>
          <w:spacing w:val="-6"/>
          <w:sz w:val="32"/>
          <w:szCs w:val="32"/>
        </w:rPr>
        <w:t>改造地块</w:t>
      </w:r>
      <w:r>
        <w:rPr>
          <w:rFonts w:hint="eastAsia" w:ascii="Times New Roman" w:hAnsi="Times New Roman" w:eastAsia="仿宋_GB2312" w:cs="仿宋_GB2312"/>
          <w:spacing w:val="-6"/>
          <w:kern w:val="0"/>
          <w:sz w:val="32"/>
          <w:szCs w:val="32"/>
        </w:rPr>
        <w:t>位于横栏镇三沙工业园，北至兴裕二路，南近长安北路，东近胜裕北路，西近齐裕路，改造范围用地面积</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Times New Roman" w:hAnsi="Times New Roman" w:eastAsia="仿宋_GB2312" w:cs="仿宋_GB2312"/>
          <w:spacing w:val="-6"/>
          <w:kern w:val="0"/>
          <w:sz w:val="32"/>
          <w:szCs w:val="32"/>
        </w:rPr>
        <w:t>。</w:t>
      </w:r>
    </w:p>
    <w:p w14:paraId="78F3EAA8">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（二）标图入库情况。</w:t>
      </w:r>
    </w:p>
    <w:p w14:paraId="2CB63B99">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仿宋_GB2312" w:cs="仿宋_GB2312"/>
          <w:spacing w:val="-6"/>
          <w:sz w:val="32"/>
          <w:szCs w:val="32"/>
        </w:rPr>
        <w:t>改造地块已</w:t>
      </w:r>
      <w:r>
        <w:rPr>
          <w:rFonts w:ascii="Times New Roman" w:hAnsi="Times New Roman" w:eastAsia="仿宋_GB2312" w:cs="仿宋_GB2312"/>
          <w:spacing w:val="-6"/>
          <w:sz w:val="32"/>
          <w:szCs w:val="32"/>
        </w:rPr>
        <w:t>于201</w:t>
      </w:r>
      <w:r>
        <w:rPr>
          <w:rFonts w:hint="eastAsia" w:ascii="Times New Roman" w:hAnsi="Times New Roman" w:eastAsia="仿宋_GB2312" w:cs="仿宋_GB2312"/>
          <w:spacing w:val="-6"/>
          <w:sz w:val="32"/>
          <w:szCs w:val="32"/>
        </w:rPr>
        <w:t>1</w:t>
      </w:r>
      <w:r>
        <w:rPr>
          <w:rFonts w:ascii="Times New Roman" w:hAnsi="Times New Roman" w:eastAsia="仿宋_GB2312" w:cs="仿宋_GB2312"/>
          <w:spacing w:val="-6"/>
          <w:sz w:val="32"/>
          <w:szCs w:val="32"/>
        </w:rPr>
        <w:t>年6月纳入“三旧”标图入库</w:t>
      </w:r>
      <w:r>
        <w:rPr>
          <w:rFonts w:hint="eastAsia" w:ascii="Times New Roman" w:hAnsi="Times New Roman" w:eastAsia="仿宋_GB2312" w:cs="仿宋_GB2312"/>
          <w:spacing w:val="-6"/>
          <w:sz w:val="32"/>
          <w:szCs w:val="32"/>
        </w:rPr>
        <w:t>，图斑编号为</w:t>
      </w:r>
      <w:r>
        <w:rPr>
          <w:rFonts w:ascii="Times New Roman" w:hAnsi="Times New Roman" w:eastAsia="仿宋_GB2312" w:cs="仿宋_GB2312"/>
          <w:spacing w:val="-6"/>
          <w:sz w:val="32"/>
          <w:szCs w:val="32"/>
        </w:rPr>
        <w:t>442000</w:t>
      </w:r>
      <w:r>
        <w:rPr>
          <w:rFonts w:hint="eastAsia" w:ascii="Times New Roman" w:hAnsi="Times New Roman" w:eastAsia="仿宋_GB2312" w:cs="仿宋_GB2312"/>
          <w:spacing w:val="-6"/>
          <w:sz w:val="32"/>
          <w:szCs w:val="32"/>
        </w:rPr>
        <w:t>29601，</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Times New Roman" w:hAnsi="Times New Roman" w:eastAsia="仿宋_GB2312" w:cs="仿宋_GB2312"/>
          <w:spacing w:val="-6"/>
          <w:sz w:val="32"/>
          <w:szCs w:val="32"/>
        </w:rPr>
        <w:t>的改造范围用地均纳入图斑</w:t>
      </w:r>
      <w:r>
        <w:rPr>
          <w:rFonts w:hint="eastAsia" w:ascii="Times New Roman" w:hAnsi="Times New Roman" w:eastAsia="仿宋_GB2312" w:cs="仿宋_GB2312"/>
          <w:spacing w:val="-6"/>
          <w:kern w:val="0"/>
          <w:sz w:val="32"/>
          <w:szCs w:val="32"/>
        </w:rPr>
        <w:t>。</w:t>
      </w:r>
    </w:p>
    <w:p w14:paraId="5EC9568C">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（三）权属情况。</w:t>
      </w:r>
    </w:p>
    <w:p w14:paraId="66716381">
      <w:pPr>
        <w:spacing w:line="574" w:lineRule="exact"/>
        <w:ind w:firstLine="616" w:firstLineChars="200"/>
        <w:rPr>
          <w:rFonts w:ascii="Times New Roman" w:hAnsi="Times New Roman" w:eastAsia="仿宋_GB2312" w:cs="楷体"/>
          <w:spacing w:val="-6"/>
          <w:sz w:val="32"/>
          <w:szCs w:val="32"/>
        </w:rPr>
      </w:pPr>
      <w:r>
        <w:rPr>
          <w:rFonts w:hint="eastAsia" w:ascii="Times New Roman" w:hAnsi="Times New Roman" w:eastAsia="仿宋_GB2312" w:cs="仿宋_GB2312"/>
          <w:spacing w:val="-6"/>
          <w:sz w:val="32"/>
          <w:szCs w:val="32"/>
        </w:rPr>
        <w:t>改造地块涉及</w:t>
      </w:r>
      <w:r>
        <w:rPr>
          <w:rFonts w:hint="eastAsia" w:ascii="Times New Roman" w:hAnsi="Times New Roman" w:eastAsia="仿宋_GB2312" w:cs="仿宋_GB2312"/>
          <w:spacing w:val="-6"/>
          <w:kern w:val="0"/>
          <w:sz w:val="32"/>
          <w:szCs w:val="32"/>
        </w:rPr>
        <w:t>三沙股联社</w:t>
      </w:r>
      <w:r>
        <w:rPr>
          <w:rFonts w:hint="eastAsia" w:ascii="Times New Roman" w:hAnsi="Times New Roman" w:eastAsia="仿宋_GB2312" w:cs="仿宋_GB2312"/>
          <w:spacing w:val="-6"/>
          <w:sz w:val="32"/>
          <w:szCs w:val="32"/>
        </w:rPr>
        <w:t>1宗</w:t>
      </w:r>
      <w:r>
        <w:rPr>
          <w:rFonts w:hint="eastAsia" w:ascii="Times New Roman" w:hAnsi="Times New Roman" w:eastAsia="仿宋_GB2312"/>
          <w:spacing w:val="-6"/>
          <w:sz w:val="32"/>
          <w:szCs w:val="32"/>
        </w:rPr>
        <w:t>集体建设用地</w:t>
      </w:r>
      <w:r>
        <w:rPr>
          <w:rFonts w:hint="eastAsia" w:ascii="Times New Roman" w:hAnsi="Times New Roman" w:eastAsia="仿宋_GB2312" w:cs="仿宋_GB2312"/>
          <w:spacing w:val="-6"/>
          <w:sz w:val="32"/>
          <w:szCs w:val="32"/>
        </w:rPr>
        <w:t>，未办理使用权证，已办理集体土地所有权证，不动产权证号为粤(2016)中山市不动产权第0081661号，为土地权利人中山市横栏镇三沙村第一股份合作经济社农民集体自2003年开始使用，</w:t>
      </w:r>
      <w:r>
        <w:rPr>
          <w:rFonts w:hint="eastAsia" w:ascii="Times New Roman" w:hAnsi="Times New Roman" w:eastAsia="仿宋_GB2312" w:cs="仿宋_GB2312"/>
          <w:spacing w:val="-6"/>
          <w:kern w:val="0"/>
          <w:sz w:val="32"/>
          <w:szCs w:val="32"/>
        </w:rPr>
        <w:t>拟变更权利人至三沙股联社名下。</w:t>
      </w:r>
    </w:p>
    <w:p w14:paraId="6FD8B2BE">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（四）土地现状情况。</w:t>
      </w:r>
    </w:p>
    <w:p w14:paraId="41A6C694">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改造地块在“二调”及最新土地利用现状均为建设用地</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rPr>
        <w:t>。改造范围不涉及整体利用的边角地、夹心地、插花地（下称“三地”）、其他用地、征地留用地、与原“三旧”用地置换的“三旧”用地或其他存量建设用地、使用原“三旧”用地复垦产生的规模或指标的非建设用地。</w:t>
      </w:r>
    </w:p>
    <w:p w14:paraId="0BD3A85E">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rPr>
        <w:t>改造主体地</w:t>
      </w:r>
      <w:r>
        <w:rPr>
          <w:rFonts w:hint="eastAsia" w:ascii="Times New Roman" w:hAnsi="Times New Roman" w:eastAsia="仿宋_GB2312" w:cs="仿宋_GB2312"/>
          <w:spacing w:val="-6"/>
          <w:kern w:val="0"/>
          <w:sz w:val="32"/>
          <w:szCs w:val="32"/>
          <w:highlight w:val="none"/>
        </w:rPr>
        <w:t>块原有</w:t>
      </w:r>
      <w:r>
        <w:rPr>
          <w:rFonts w:hint="eastAsia" w:ascii="Times New Roman" w:hAnsi="Times New Roman" w:eastAsia="仿宋_GB2312" w:cs="仿宋_GB2312"/>
          <w:spacing w:val="-6"/>
          <w:kern w:val="0"/>
          <w:sz w:val="32"/>
          <w:szCs w:val="32"/>
          <w:highlight w:val="none"/>
          <w:lang w:val="en-US" w:eastAsia="zh-CN"/>
        </w:rPr>
        <w:t>1</w:t>
      </w:r>
      <w:r>
        <w:rPr>
          <w:rFonts w:hint="eastAsia" w:ascii="Times New Roman" w:hAnsi="Times New Roman" w:eastAsia="仿宋_GB2312" w:cs="仿宋_GB2312"/>
          <w:spacing w:val="-6"/>
          <w:kern w:val="0"/>
          <w:sz w:val="32"/>
          <w:szCs w:val="32"/>
          <w:highlight w:val="none"/>
        </w:rPr>
        <w:t>栋建筑物，为三沙股联社自2003年12月开始使用。未办理规划报建等手续，原有建</w:t>
      </w:r>
      <w:r>
        <w:rPr>
          <w:rFonts w:hint="eastAsia" w:ascii="Times New Roman" w:hAnsi="Times New Roman" w:eastAsia="仿宋_GB2312" w:cs="仿宋_GB2312"/>
          <w:spacing w:val="-6"/>
          <w:kern w:val="0"/>
          <w:sz w:val="32"/>
          <w:szCs w:val="32"/>
        </w:rPr>
        <w:t>筑面积</w:t>
      </w:r>
      <w:r>
        <w:rPr>
          <w:rFonts w:hint="eastAsia" w:ascii="Times New Roman" w:hAnsi="Times New Roman" w:eastAsia="仿宋_GB2312" w:cs="仿宋_GB2312"/>
          <w:spacing w:val="-6"/>
          <w:kern w:val="0"/>
          <w:sz w:val="32"/>
          <w:szCs w:val="32"/>
          <w:lang w:val="en-US" w:eastAsia="zh-CN"/>
        </w:rPr>
        <w:t>5464.15</w:t>
      </w:r>
      <w:r>
        <w:rPr>
          <w:rFonts w:hint="eastAsia" w:ascii="Times New Roman" w:hAnsi="Times New Roman" w:eastAsia="仿宋_GB2312" w:cs="仿宋_GB2312"/>
          <w:spacing w:val="-6"/>
          <w:kern w:val="0"/>
          <w:sz w:val="32"/>
          <w:szCs w:val="32"/>
        </w:rPr>
        <w:t>平方米，容积率0.8，主要作工业厂房用途。该地块目前已拆除建筑面积</w:t>
      </w:r>
      <w:r>
        <w:rPr>
          <w:rFonts w:hint="eastAsia" w:ascii="Times New Roman" w:hAnsi="Times New Roman" w:eastAsia="仿宋_GB2312" w:cs="仿宋_GB2312"/>
          <w:spacing w:val="-6"/>
          <w:kern w:val="0"/>
          <w:sz w:val="32"/>
          <w:szCs w:val="32"/>
          <w:lang w:val="en-US" w:eastAsia="zh-CN"/>
        </w:rPr>
        <w:t>5464.15</w:t>
      </w:r>
      <w:r>
        <w:rPr>
          <w:rFonts w:hint="eastAsia" w:ascii="Times New Roman" w:hAnsi="Times New Roman" w:eastAsia="仿宋_GB2312" w:cs="仿宋_GB2312"/>
          <w:spacing w:val="-6"/>
          <w:kern w:val="0"/>
          <w:sz w:val="32"/>
          <w:szCs w:val="32"/>
        </w:rPr>
        <w:t>平方米，改造前年产值为</w:t>
      </w:r>
      <w:r>
        <w:rPr>
          <w:rFonts w:hint="eastAsia" w:ascii="Times New Roman" w:hAnsi="Times New Roman" w:eastAsia="仿宋_GB2312" w:cs="仿宋_GB2312"/>
          <w:spacing w:val="-6"/>
          <w:kern w:val="0"/>
          <w:sz w:val="32"/>
          <w:szCs w:val="32"/>
          <w:lang w:val="en-US" w:eastAsia="zh-CN"/>
        </w:rPr>
        <w:t>307.50</w:t>
      </w:r>
      <w:r>
        <w:rPr>
          <w:rFonts w:hint="eastAsia" w:ascii="Times New Roman" w:hAnsi="Times New Roman" w:eastAsia="仿宋_GB2312" w:cs="仿宋_GB2312"/>
          <w:spacing w:val="-6"/>
          <w:kern w:val="0"/>
          <w:sz w:val="32"/>
          <w:szCs w:val="32"/>
        </w:rPr>
        <w:t>万元（折合约30万元/亩），年税收为</w:t>
      </w:r>
      <w:r>
        <w:rPr>
          <w:rFonts w:hint="eastAsia" w:ascii="Times New Roman" w:hAnsi="Times New Roman" w:eastAsia="仿宋_GB2312" w:cs="仿宋_GB2312"/>
          <w:spacing w:val="-6"/>
          <w:kern w:val="0"/>
          <w:sz w:val="32"/>
          <w:szCs w:val="32"/>
          <w:lang w:val="en-US" w:eastAsia="zh-CN"/>
        </w:rPr>
        <w:t>12.30</w:t>
      </w:r>
      <w:r>
        <w:rPr>
          <w:rFonts w:hint="eastAsia" w:ascii="Times New Roman" w:hAnsi="Times New Roman" w:eastAsia="仿宋_GB2312" w:cs="仿宋_GB2312"/>
          <w:spacing w:val="-6"/>
          <w:kern w:val="0"/>
          <w:sz w:val="32"/>
          <w:szCs w:val="32"/>
        </w:rPr>
        <w:t>万元（折合约1.2万元/亩）</w:t>
      </w:r>
    </w:p>
    <w:p w14:paraId="02FF3B02">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rPr>
        <w:t>改造地块共涉及</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Times New Roman" w:hAnsi="Times New Roman" w:eastAsia="仿宋_GB2312" w:cs="仿宋_GB2312"/>
          <w:spacing w:val="-6"/>
          <w:kern w:val="0"/>
          <w:sz w:val="32"/>
          <w:szCs w:val="32"/>
        </w:rPr>
        <w:t>未完善建设用地手续，正在办理违法用地处罚手续。</w:t>
      </w:r>
    </w:p>
    <w:p w14:paraId="1BF97830">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rPr>
        <w:t>改造地块</w:t>
      </w:r>
      <w:r>
        <w:rPr>
          <w:rFonts w:ascii="Times New Roman" w:hAnsi="Times New Roman" w:eastAsia="仿宋_GB2312" w:cs="仿宋_GB2312"/>
          <w:spacing w:val="-6"/>
          <w:kern w:val="0"/>
          <w:sz w:val="32"/>
          <w:szCs w:val="32"/>
        </w:rPr>
        <w:t>不涉及抵押、闲置、历史文化资源要素、土壤环境潜在监管地块等情况。</w:t>
      </w:r>
    </w:p>
    <w:p w14:paraId="3589E301">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（五）规划情况。</w:t>
      </w:r>
    </w:p>
    <w:p w14:paraId="79210647">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spacing w:val="-6"/>
          <w:sz w:val="32"/>
          <w:szCs w:val="32"/>
        </w:rPr>
        <w:t>改造地块符合</w:t>
      </w:r>
      <w:r>
        <w:rPr>
          <w:rFonts w:ascii="Times New Roman" w:hAnsi="Times New Roman" w:eastAsia="仿宋_GB2312"/>
          <w:spacing w:val="-6"/>
          <w:sz w:val="32"/>
          <w:szCs w:val="32"/>
        </w:rPr>
        <w:t>国土空间总体规划</w:t>
      </w:r>
      <w:r>
        <w:rPr>
          <w:rFonts w:hint="eastAsia" w:ascii="Times New Roman" w:hAnsi="Times New Roman" w:eastAsia="仿宋_GB2312"/>
          <w:spacing w:val="-6"/>
          <w:sz w:val="32"/>
          <w:szCs w:val="32"/>
        </w:rPr>
        <w:t>、单元规划，已纳入</w:t>
      </w:r>
      <w:r>
        <w:rPr>
          <w:rFonts w:ascii="Times New Roman" w:hAnsi="Times New Roman" w:eastAsia="仿宋_GB2312"/>
          <w:spacing w:val="-6"/>
          <w:sz w:val="32"/>
          <w:szCs w:val="32"/>
        </w:rPr>
        <w:t>《中山市城市更新（“三旧”改造）专项规划（2020-2035年）》。</w:t>
      </w:r>
      <w:r>
        <w:rPr>
          <w:rFonts w:hint="eastAsia" w:ascii="Times New Roman" w:hAnsi="Times New Roman" w:eastAsia="仿宋_GB2312"/>
          <w:spacing w:val="-6"/>
          <w:sz w:val="32"/>
          <w:szCs w:val="32"/>
        </w:rPr>
        <w:t>其中，在《中山市国土空间总体规划（2021-2035）》中，均属城乡建设用地</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Times New Roman" w:hAnsi="Times New Roman" w:eastAsia="仿宋_GB2312"/>
          <w:spacing w:val="-6"/>
          <w:sz w:val="32"/>
          <w:szCs w:val="32"/>
        </w:rPr>
        <w:t>。</w:t>
      </w:r>
      <w:r>
        <w:rPr>
          <w:rFonts w:hint="eastAsia" w:ascii="Times New Roman" w:hAnsi="Times New Roman" w:eastAsia="仿宋_GB2312" w:cs="仿宋_GB2312"/>
          <w:spacing w:val="-6"/>
          <w:kern w:val="0"/>
          <w:sz w:val="32"/>
          <w:szCs w:val="32"/>
        </w:rPr>
        <w:t>在《</w:t>
      </w:r>
      <w:r>
        <w:rPr>
          <w:rFonts w:hint="eastAsia" w:ascii="Times New Roman" w:hAnsi="Times New Roman" w:eastAsia="仿宋_GB2312" w:cs="仿宋_GB2312"/>
          <w:spacing w:val="-6"/>
          <w:sz w:val="32"/>
          <w:szCs w:val="32"/>
        </w:rPr>
        <w:t>中山市西部产业园横栏三沙片区A单元规划</w:t>
      </w:r>
      <w:r>
        <w:rPr>
          <w:rFonts w:hint="eastAsia" w:ascii="Times New Roman" w:hAnsi="Times New Roman" w:eastAsia="仿宋_GB2312" w:cs="仿宋_GB2312"/>
          <w:spacing w:val="-6"/>
          <w:kern w:val="0"/>
          <w:sz w:val="32"/>
          <w:szCs w:val="32"/>
        </w:rPr>
        <w:t>》（中府函〔2024〕18号）中，商业用地</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Times New Roman" w:hAnsi="Times New Roman" w:eastAsia="仿宋_GB2312" w:cs="仿宋_GB2312"/>
          <w:spacing w:val="-6"/>
          <w:kern w:val="0"/>
          <w:sz w:val="32"/>
          <w:szCs w:val="32"/>
        </w:rPr>
        <w:t>，规划容积率</w:t>
      </w:r>
      <w:r>
        <w:rPr>
          <w:rFonts w:hint="eastAsia" w:ascii="Times New Roman" w:hAnsi="Times New Roman" w:eastAsia="仿宋_GB2312" w:cs="仿宋_GB2312"/>
          <w:color w:val="000000"/>
          <w:spacing w:val="-6"/>
          <w:sz w:val="32"/>
        </w:rPr>
        <w:t>≤</w:t>
      </w:r>
      <w:r>
        <w:rPr>
          <w:rFonts w:hint="eastAsia" w:ascii="Times New Roman" w:hAnsi="Times New Roman" w:eastAsia="仿宋_GB2312" w:cs="仿宋_GB2312"/>
          <w:spacing w:val="-6"/>
          <w:kern w:val="0"/>
          <w:sz w:val="32"/>
          <w:szCs w:val="32"/>
        </w:rPr>
        <w:t>4.0，建筑密度</w:t>
      </w:r>
      <w:r>
        <w:rPr>
          <w:rFonts w:hint="eastAsia" w:ascii="Times New Roman" w:hAnsi="Times New Roman" w:eastAsia="仿宋_GB2312" w:cs="仿宋_GB2312"/>
          <w:color w:val="000000"/>
          <w:spacing w:val="-6"/>
          <w:sz w:val="32"/>
        </w:rPr>
        <w:t>≤</w:t>
      </w:r>
      <w:r>
        <w:rPr>
          <w:rFonts w:hint="eastAsia" w:ascii="Times New Roman" w:hAnsi="Times New Roman" w:eastAsia="仿宋_GB2312" w:cs="仿宋_GB2312"/>
          <w:spacing w:val="-6"/>
          <w:kern w:val="0"/>
          <w:sz w:val="32"/>
          <w:szCs w:val="32"/>
        </w:rPr>
        <w:t>40%，绿地率</w:t>
      </w:r>
      <w:r>
        <w:rPr>
          <w:rFonts w:hint="eastAsia" w:ascii="仿宋_GB2312" w:hAnsi="Times New Roman" w:eastAsia="仿宋_GB2312" w:cs="仿宋_GB2312"/>
          <w:spacing w:val="-6"/>
          <w:kern w:val="0"/>
          <w:sz w:val="32"/>
          <w:szCs w:val="32"/>
        </w:rPr>
        <w:t>≥</w:t>
      </w:r>
      <w:r>
        <w:rPr>
          <w:rFonts w:hint="eastAsia" w:ascii="Times New Roman" w:hAnsi="Times New Roman" w:eastAsia="仿宋_GB2312" w:cs="仿宋_GB2312"/>
          <w:spacing w:val="-6"/>
          <w:kern w:val="0"/>
          <w:sz w:val="32"/>
          <w:szCs w:val="32"/>
        </w:rPr>
        <w:t>30%，</w:t>
      </w:r>
      <w:r>
        <w:rPr>
          <w:rFonts w:hint="eastAsia" w:ascii="Times New Roman" w:hAnsi="Times New Roman" w:eastAsia="仿宋_GB2312" w:cs="仿宋_GB2312"/>
          <w:color w:val="000000"/>
          <w:spacing w:val="-6"/>
          <w:sz w:val="32"/>
        </w:rPr>
        <w:t>建筑高度≤80米</w:t>
      </w:r>
      <w:r>
        <w:rPr>
          <w:rFonts w:hint="eastAsia" w:ascii="Times New Roman" w:hAnsi="Times New Roman" w:eastAsia="仿宋_GB2312" w:cs="仿宋_GB2312"/>
          <w:spacing w:val="-6"/>
          <w:kern w:val="0"/>
          <w:sz w:val="32"/>
          <w:szCs w:val="32"/>
        </w:rPr>
        <w:t>。</w:t>
      </w:r>
    </w:p>
    <w:p w14:paraId="2FF1A097">
      <w:pPr>
        <w:spacing w:line="580" w:lineRule="exact"/>
        <w:ind w:firstLine="616" w:firstLineChars="200"/>
        <w:rPr>
          <w:rFonts w:ascii="Times New Roman" w:hAnsi="Times New Roman" w:eastAsia="仿宋_GB2312"/>
          <w:sz w:val="32"/>
          <w:szCs w:val="32"/>
        </w:rPr>
      </w:pPr>
      <w:r>
        <w:rPr>
          <w:rFonts w:hint="eastAsia" w:ascii="Times New Roman" w:hAnsi="Times New Roman" w:eastAsia="仿宋_GB2312"/>
          <w:spacing w:val="-6"/>
          <w:sz w:val="32"/>
          <w:szCs w:val="32"/>
        </w:rPr>
        <w:t>改造地块全部位于</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三区三线</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城镇开发边界内，符合</w:t>
      </w:r>
      <w:r>
        <w:rPr>
          <w:rFonts w:hint="eastAsia" w:ascii="Times New Roman" w:hAnsi="Times New Roman" w:eastAsia="仿宋_GB2312"/>
          <w:spacing w:val="-6"/>
          <w:sz w:val="32"/>
          <w:szCs w:val="32"/>
          <w:lang w:val="en-US" w:eastAsia="zh-CN"/>
        </w:rPr>
        <w:t>在编</w:t>
      </w:r>
      <w:r>
        <w:rPr>
          <w:rFonts w:hint="eastAsia" w:ascii="Times New Roman" w:hAnsi="Times New Roman" w:eastAsia="仿宋_GB2312"/>
          <w:spacing w:val="-6"/>
          <w:sz w:val="32"/>
          <w:szCs w:val="32"/>
        </w:rPr>
        <w:t>工业用地保护线管控要求，且不涉及永久基本农田</w:t>
      </w:r>
      <w:r>
        <w:rPr>
          <w:rFonts w:hint="eastAsia" w:ascii="Times New Roman" w:hAnsi="Times New Roman" w:eastAsia="仿宋_GB2312"/>
          <w:spacing w:val="-6"/>
          <w:sz w:val="32"/>
          <w:szCs w:val="32"/>
          <w:lang w:val="en-US" w:eastAsia="zh-CN"/>
        </w:rPr>
        <w:t>和</w:t>
      </w:r>
      <w:r>
        <w:rPr>
          <w:rFonts w:hint="eastAsia" w:ascii="Times New Roman" w:hAnsi="Times New Roman" w:eastAsia="仿宋_GB2312"/>
          <w:spacing w:val="-6"/>
          <w:sz w:val="32"/>
          <w:szCs w:val="32"/>
        </w:rPr>
        <w:t>生态保护红线、森林资源等管控要求。</w:t>
      </w:r>
    </w:p>
    <w:p w14:paraId="5C9FD10E">
      <w:pPr>
        <w:spacing w:line="574" w:lineRule="exact"/>
        <w:ind w:firstLine="616" w:firstLineChars="20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二、改造意愿和补偿安置情况</w:t>
      </w:r>
    </w:p>
    <w:p w14:paraId="5C345EAA">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（一）改造意愿情况。</w:t>
      </w:r>
    </w:p>
    <w:p w14:paraId="70C6A7AD">
      <w:pPr>
        <w:spacing w:line="57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改造地块涉及三沙股联社1个权利主体，横栏镇政府已按照法律法规及我市城市更新（“三旧”改造）政策规定，就改造范围、土地现状、改造主体及拟改造情况等事项</w:t>
      </w:r>
      <w:r>
        <w:rPr>
          <w:rFonts w:hint="eastAsia" w:ascii="Times New Roman" w:hAnsi="Times New Roman" w:eastAsia="仿宋_GB2312"/>
          <w:sz w:val="32"/>
          <w:szCs w:val="32"/>
          <w:lang w:val="en-US" w:eastAsia="zh-CN"/>
        </w:rPr>
        <w:t>征询</w:t>
      </w:r>
      <w:r>
        <w:rPr>
          <w:rFonts w:hint="eastAsia" w:ascii="Times New Roman" w:hAnsi="Times New Roman" w:eastAsia="仿宋_GB2312"/>
          <w:sz w:val="32"/>
          <w:szCs w:val="32"/>
        </w:rPr>
        <w:t>三沙股联社</w:t>
      </w:r>
      <w:r>
        <w:rPr>
          <w:rFonts w:hint="eastAsia" w:ascii="Times New Roman" w:hAnsi="Times New Roman" w:eastAsia="仿宋_GB2312"/>
          <w:sz w:val="32"/>
          <w:szCs w:val="32"/>
          <w:lang w:val="en-US" w:eastAsia="zh-CN"/>
        </w:rPr>
        <w:t>组成成员的意见</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于2025年1月</w:t>
      </w:r>
      <w:r>
        <w:rPr>
          <w:rFonts w:hint="eastAsia" w:ascii="Times New Roman" w:hAnsi="Times New Roman" w:eastAsia="仿宋_GB2312"/>
          <w:sz w:val="32"/>
          <w:szCs w:val="32"/>
        </w:rPr>
        <w:t>经三沙股联社股东代表会议三分之二以上股东代表表决，同意将涉及土地、房屋纳入改造范围，申请办理改造地块集体土地完善转用手续，集体建设用地转为国有建设用地手续。</w:t>
      </w:r>
    </w:p>
    <w:p w14:paraId="17A1F844">
      <w:pPr>
        <w:spacing w:line="574" w:lineRule="exact"/>
        <w:ind w:firstLine="616" w:firstLineChars="200"/>
        <w:rPr>
          <w:rFonts w:ascii="Times New Roman" w:hAnsi="Times New Roman" w:eastAsia="楷体" w:cs="楷体"/>
          <w:spacing w:val="-6"/>
          <w:sz w:val="32"/>
          <w:szCs w:val="32"/>
        </w:rPr>
      </w:pPr>
      <w:bookmarkStart w:id="4" w:name="_GoBack"/>
      <w:bookmarkEnd w:id="4"/>
      <w:r>
        <w:rPr>
          <w:rFonts w:hint="eastAsia" w:ascii="Times New Roman" w:hAnsi="Times New Roman" w:eastAsia="楷体" w:cs="楷体"/>
          <w:spacing w:val="-6"/>
          <w:sz w:val="32"/>
          <w:szCs w:val="32"/>
        </w:rPr>
        <w:t>（二）补偿安置情况。</w:t>
      </w:r>
    </w:p>
    <w:p w14:paraId="56A7D359">
      <w:pPr>
        <w:spacing w:line="574"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三沙股联社自愿申请将集体建设用地转为国有建设用地，不涉及征地补偿、安置补助、青苗及地上附着物补偿、留用地安置、社会保障安置等补偿费用。</w:t>
      </w:r>
    </w:p>
    <w:p w14:paraId="58494B06">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（三）开展社会稳定风险评估情况。</w:t>
      </w:r>
    </w:p>
    <w:p w14:paraId="76C49CE6">
      <w:pPr>
        <w:spacing w:line="574" w:lineRule="exact"/>
        <w:ind w:firstLine="616" w:firstLineChars="200"/>
        <w:rPr>
          <w:rFonts w:ascii="Times New Roman" w:hAnsi="Times New Roman" w:eastAsia="黑体" w:cs="黑体"/>
          <w:spacing w:val="-6"/>
          <w:kern w:val="0"/>
          <w:sz w:val="32"/>
          <w:szCs w:val="32"/>
          <w:u w:val="single"/>
        </w:rPr>
      </w:pPr>
      <w:r>
        <w:rPr>
          <w:rFonts w:ascii="Times New Roman" w:hAnsi="Times New Roman" w:eastAsia="仿宋_GB2312"/>
          <w:spacing w:val="-6"/>
          <w:sz w:val="32"/>
          <w:szCs w:val="32"/>
        </w:rPr>
        <w:t>改造项目社会稳定风险评估的责任主体为</w:t>
      </w:r>
      <w:r>
        <w:rPr>
          <w:rFonts w:hint="eastAsia" w:ascii="Times New Roman" w:hAnsi="Times New Roman" w:eastAsia="仿宋_GB2312"/>
          <w:spacing w:val="-6"/>
          <w:sz w:val="32"/>
          <w:szCs w:val="32"/>
        </w:rPr>
        <w:t>横栏镇城市建设和管理局</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横栏镇</w:t>
      </w:r>
      <w:r>
        <w:rPr>
          <w:rFonts w:hint="eastAsia" w:ascii="Times New Roman" w:hAnsi="Times New Roman" w:eastAsia="仿宋_GB2312" w:cs="仿宋_GB2312"/>
          <w:spacing w:val="-6"/>
          <w:sz w:val="32"/>
          <w:szCs w:val="32"/>
        </w:rPr>
        <w:t>城市建设和管理局已按规定开展社会稳定风险评估，根据社会稳定风险评估结果，本改造项目风险等级为低风险。</w:t>
      </w:r>
    </w:p>
    <w:p w14:paraId="5BF1E09E">
      <w:pPr>
        <w:spacing w:line="574" w:lineRule="exact"/>
        <w:ind w:firstLine="616" w:firstLineChars="20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三、改造主体及拟改造情况</w:t>
      </w:r>
    </w:p>
    <w:p w14:paraId="118AF0EB">
      <w:pPr>
        <w:spacing w:line="574" w:lineRule="exact"/>
        <w:ind w:firstLine="616" w:firstLineChars="200"/>
        <w:rPr>
          <w:rFonts w:hint="eastAsia" w:ascii="Times New Roman" w:hAnsi="Times New Roman" w:eastAsia="仿宋_GB2312"/>
          <w:sz w:val="32"/>
          <w:szCs w:val="32"/>
          <w:lang w:eastAsia="zh-CN"/>
        </w:rPr>
      </w:pPr>
      <w:r>
        <w:rPr>
          <w:rFonts w:hint="eastAsia" w:ascii="Times New Roman" w:hAnsi="Times New Roman" w:eastAsia="仿宋_GB2312" w:cs="仿宋_GB2312"/>
          <w:spacing w:val="-6"/>
          <w:kern w:val="0"/>
          <w:sz w:val="32"/>
          <w:szCs w:val="32"/>
        </w:rPr>
        <w:t>根据有关规划要求，改造项目严格按照国土空间总体规划、单元规划管控要求实施建设。</w:t>
      </w:r>
      <w:r>
        <w:rPr>
          <w:rFonts w:hint="eastAsia" w:ascii="Times New Roman" w:hAnsi="Times New Roman" w:eastAsia="仿宋_GB2312"/>
          <w:spacing w:val="-6"/>
          <w:sz w:val="32"/>
          <w:szCs w:val="32"/>
        </w:rPr>
        <w:t>该改造项目属</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工改</w:t>
      </w:r>
      <w:r>
        <w:rPr>
          <w:rFonts w:hint="eastAsia" w:ascii="Times New Roman" w:hAnsi="Times New Roman" w:eastAsia="仿宋_GB2312"/>
          <w:spacing w:val="-6"/>
          <w:sz w:val="32"/>
          <w:szCs w:val="32"/>
          <w:lang w:val="en-US" w:eastAsia="zh-CN"/>
        </w:rPr>
        <w:t>商</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宗地项目，</w:t>
      </w:r>
      <w:r>
        <w:rPr>
          <w:rFonts w:hint="eastAsia" w:ascii="Times New Roman" w:hAnsi="Times New Roman" w:eastAsia="仿宋_GB2312" w:cs="仿宋_GB2312"/>
          <w:spacing w:val="-6"/>
          <w:kern w:val="0"/>
          <w:sz w:val="32"/>
          <w:szCs w:val="32"/>
        </w:rPr>
        <w:t>拟采取权利人自主改造方式，</w:t>
      </w:r>
      <w:r>
        <w:rPr>
          <w:rFonts w:ascii="Times New Roman" w:hAnsi="Times New Roman" w:eastAsia="仿宋_GB2312" w:cs="仿宋_GB2312"/>
          <w:spacing w:val="-6"/>
          <w:kern w:val="0"/>
          <w:sz w:val="32"/>
          <w:szCs w:val="32"/>
        </w:rPr>
        <w:t>由</w:t>
      </w:r>
      <w:r>
        <w:rPr>
          <w:rFonts w:hint="eastAsia" w:ascii="Times New Roman" w:hAnsi="Times New Roman" w:eastAsia="仿宋_GB2312" w:cs="仿宋_GB2312"/>
          <w:spacing w:val="-6"/>
          <w:kern w:val="0"/>
          <w:sz w:val="32"/>
          <w:szCs w:val="32"/>
        </w:rPr>
        <w:t>三沙</w:t>
      </w:r>
      <w:r>
        <w:rPr>
          <w:rFonts w:ascii="Times New Roman" w:hAnsi="Times New Roman" w:eastAsia="仿宋_GB2312" w:cs="仿宋_GB2312"/>
          <w:spacing w:val="-6"/>
          <w:kern w:val="0"/>
          <w:sz w:val="32"/>
          <w:szCs w:val="32"/>
        </w:rPr>
        <w:t>股联社作为改造主体实施全面改造</w:t>
      </w:r>
      <w:r>
        <w:rPr>
          <w:rFonts w:hint="eastAsia" w:ascii="Times New Roman" w:hAnsi="Times New Roman" w:eastAsia="仿宋_GB2312" w:cs="仿宋_GB2312"/>
          <w:spacing w:val="-6"/>
          <w:kern w:val="0"/>
          <w:sz w:val="32"/>
          <w:szCs w:val="32"/>
        </w:rPr>
        <w:t>。</w:t>
      </w:r>
    </w:p>
    <w:p w14:paraId="6D824471">
      <w:pPr>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rPr>
        <w:t>改造后将用于建设</w:t>
      </w:r>
      <w:r>
        <w:rPr>
          <w:rFonts w:hint="eastAsia" w:ascii="Times New Roman" w:hAnsi="Times New Roman" w:eastAsia="仿宋_GB2312" w:cs="仿宋_GB2312"/>
          <w:spacing w:val="-6"/>
          <w:kern w:val="0"/>
          <w:sz w:val="32"/>
          <w:szCs w:val="32"/>
          <w:highlight w:val="none"/>
          <w:lang w:val="en-US" w:eastAsia="zh-CN"/>
        </w:rPr>
        <w:t>百货商场和公寓</w:t>
      </w:r>
      <w:r>
        <w:rPr>
          <w:rFonts w:hint="eastAsia" w:ascii="Times New Roman" w:hAnsi="Times New Roman" w:eastAsia="仿宋_GB2312" w:cs="仿宋_GB2312"/>
          <w:spacing w:val="-6"/>
          <w:kern w:val="0"/>
          <w:sz w:val="32"/>
          <w:szCs w:val="32"/>
        </w:rPr>
        <w:t>，在符合单元规划的基础上，</w:t>
      </w:r>
      <w:r>
        <w:rPr>
          <w:rFonts w:hint="eastAsia" w:ascii="Times New Roman" w:hAnsi="Times New Roman" w:eastAsia="仿宋_GB2312" w:cs="仿宋_GB2312"/>
          <w:spacing w:val="-6"/>
          <w:kern w:val="0"/>
          <w:sz w:val="32"/>
          <w:szCs w:val="32"/>
          <w:highlight w:val="none"/>
        </w:rPr>
        <w:t>容积率</w:t>
      </w:r>
      <w:r>
        <w:rPr>
          <w:rFonts w:hint="eastAsia" w:ascii="Times New Roman" w:hAnsi="Times New Roman" w:eastAsia="仿宋_GB2312" w:cs="仿宋_GB2312"/>
          <w:spacing w:val="-6"/>
          <w:kern w:val="0"/>
          <w:sz w:val="32"/>
          <w:szCs w:val="32"/>
          <w:highlight w:val="none"/>
          <w:lang w:eastAsia="zh-CN"/>
        </w:rPr>
        <w:t>2</w:t>
      </w:r>
      <w:r>
        <w:rPr>
          <w:rFonts w:hint="eastAsia" w:ascii="Times New Roman" w:hAnsi="Times New Roman" w:eastAsia="仿宋_GB2312" w:cs="仿宋_GB2312"/>
          <w:spacing w:val="-6"/>
          <w:kern w:val="0"/>
          <w:sz w:val="32"/>
          <w:szCs w:val="32"/>
          <w:highlight w:val="none"/>
        </w:rPr>
        <w:t>.0，新建建筑面积</w:t>
      </w:r>
      <w:r>
        <w:rPr>
          <w:rFonts w:hint="eastAsia" w:ascii="Times New Roman" w:hAnsi="Times New Roman" w:eastAsia="仿宋_GB2312" w:cs="仿宋_GB2312"/>
          <w:spacing w:val="-6"/>
          <w:kern w:val="0"/>
          <w:sz w:val="32"/>
          <w:szCs w:val="32"/>
          <w:highlight w:val="none"/>
          <w:lang w:eastAsia="zh-CN"/>
        </w:rPr>
        <w:t>1</w:t>
      </w:r>
      <w:r>
        <w:rPr>
          <w:rFonts w:hint="eastAsia" w:ascii="Times New Roman" w:hAnsi="Times New Roman" w:eastAsia="仿宋_GB2312" w:cs="仿宋_GB2312"/>
          <w:spacing w:val="-6"/>
          <w:kern w:val="0"/>
          <w:sz w:val="32"/>
          <w:szCs w:val="32"/>
          <w:highlight w:val="none"/>
          <w:lang w:val="en-US" w:eastAsia="zh-CN"/>
        </w:rPr>
        <w:t>3660.37</w:t>
      </w:r>
      <w:r>
        <w:rPr>
          <w:rFonts w:hint="eastAsia" w:ascii="Times New Roman" w:hAnsi="Times New Roman" w:eastAsia="仿宋_GB2312" w:cs="仿宋_GB2312"/>
          <w:spacing w:val="-6"/>
          <w:kern w:val="0"/>
          <w:sz w:val="32"/>
          <w:szCs w:val="32"/>
          <w:highlight w:val="none"/>
        </w:rPr>
        <w:t>平方米</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含不计容面积0平方米</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不保留原有建筑。项目不申请分割销售。根据《中山市城市更新管理办法》（中府〔2020〕93号）第十六条“全面改造项目应当按照下列标准，向政府无偿移交建设用地或建筑面积：按城市更新单元规划实施的项目，无偿移交建设用地面积不小于项目总用地面积的15%，且不小于3000平方米；按前述比例计算用地面积小于3000平方米的，应当改为无偿移交不少于项目计容总建筑面积10%的建筑面积”的规定，该项目工改商的面积为</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Times New Roman" w:hAnsi="Times New Roman" w:eastAsia="仿宋_GB2312" w:cs="仿宋_GB2312"/>
          <w:spacing w:val="-6"/>
          <w:kern w:val="0"/>
          <w:sz w:val="32"/>
          <w:szCs w:val="32"/>
        </w:rPr>
        <w:t>，应无偿移交建筑面积</w:t>
      </w:r>
      <w:r>
        <w:rPr>
          <w:rFonts w:hint="eastAsia" w:ascii="Times New Roman" w:hAnsi="Times New Roman" w:eastAsia="仿宋_GB2312" w:cs="仿宋_GB2312"/>
          <w:spacing w:val="-6"/>
          <w:kern w:val="0"/>
          <w:sz w:val="32"/>
          <w:szCs w:val="32"/>
          <w:lang w:val="en-US" w:eastAsia="zh-CN"/>
        </w:rPr>
        <w:t>1366.04</w:t>
      </w:r>
      <w:r>
        <w:rPr>
          <w:rFonts w:hint="eastAsia" w:ascii="Times New Roman" w:hAnsi="Times New Roman" w:eastAsia="仿宋_GB2312" w:cs="仿宋_GB2312"/>
          <w:spacing w:val="-6"/>
          <w:kern w:val="0"/>
          <w:sz w:val="32"/>
          <w:szCs w:val="32"/>
        </w:rPr>
        <w:t>平方米，无偿移交的土地不享受土地补偿（土地收益补偿）</w:t>
      </w:r>
      <w:r>
        <w:rPr>
          <w:rFonts w:hint="eastAsia" w:ascii="Times New Roman" w:hAnsi="Times New Roman" w:eastAsia="仿宋_GB2312" w:cs="仿宋_GB2312"/>
          <w:spacing w:val="-6"/>
          <w:kern w:val="0"/>
          <w:sz w:val="32"/>
          <w:szCs w:val="32"/>
          <w:lang w:eastAsia="zh-CN"/>
        </w:rPr>
        <w:t>。</w:t>
      </w:r>
    </w:p>
    <w:p w14:paraId="04F1A2BE">
      <w:pPr>
        <w:ind w:firstLine="616" w:firstLineChars="200"/>
        <w:rPr>
          <w:rFonts w:ascii="Times New Roman" w:hAnsi="Times New Roman" w:eastAsia="楷体" w:cs="楷体"/>
          <w:spacing w:val="-6"/>
          <w:sz w:val="32"/>
          <w:szCs w:val="32"/>
        </w:rPr>
      </w:pPr>
      <w:r>
        <w:rPr>
          <w:rFonts w:hint="eastAsia" w:ascii="Times New Roman" w:hAnsi="Times New Roman" w:eastAsia="仿宋_GB2312"/>
          <w:spacing w:val="-6"/>
          <w:sz w:val="32"/>
          <w:szCs w:val="32"/>
        </w:rPr>
        <w:t>项目相关情况符合国家《产业结构调整指导目录</w:t>
      </w:r>
      <w:r>
        <w:rPr>
          <w:rFonts w:ascii="Times New Roman" w:hAnsi="Times New Roman" w:eastAsia="仿宋_GB2312"/>
          <w:spacing w:val="-6"/>
          <w:sz w:val="32"/>
          <w:szCs w:val="32"/>
        </w:rPr>
        <w:t>(2019</w:t>
      </w:r>
      <w:r>
        <w:rPr>
          <w:rFonts w:hint="eastAsia" w:ascii="Times New Roman" w:hAnsi="Times New Roman" w:eastAsia="仿宋_GB2312"/>
          <w:spacing w:val="-6"/>
          <w:sz w:val="32"/>
          <w:szCs w:val="32"/>
        </w:rPr>
        <w:t>年版</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》《中山市</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三线一单</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生态环境分区管控方案（</w:t>
      </w:r>
      <w:r>
        <w:rPr>
          <w:rFonts w:ascii="Times New Roman" w:hAnsi="Times New Roman" w:eastAsia="仿宋_GB2312"/>
          <w:spacing w:val="-6"/>
          <w:sz w:val="32"/>
          <w:szCs w:val="32"/>
        </w:rPr>
        <w:t>202</w:t>
      </w:r>
      <w:r>
        <w:rPr>
          <w:rFonts w:hint="eastAsia" w:ascii="Times New Roman" w:hAnsi="Times New Roman" w:eastAsia="仿宋_GB2312"/>
          <w:spacing w:val="-6"/>
          <w:sz w:val="32"/>
          <w:szCs w:val="32"/>
        </w:rPr>
        <w:t>4年版）》《中山市涉挥发性有机物项目环保管理规定》。</w:t>
      </w:r>
      <w:r>
        <w:rPr>
          <w:rFonts w:hint="eastAsia" w:ascii="Times New Roman" w:hAnsi="Times New Roman" w:eastAsia="仿宋_GB2312" w:cs="仿宋_GB2312"/>
          <w:spacing w:val="-6"/>
          <w:kern w:val="0"/>
          <w:sz w:val="32"/>
          <w:szCs w:val="32"/>
        </w:rPr>
        <w:t>改造后固定资产投资强度不低于</w:t>
      </w:r>
      <w:r>
        <w:rPr>
          <w:rFonts w:hint="eastAsia" w:ascii="Times New Roman" w:hAnsi="Times New Roman" w:eastAsia="仿宋_GB2312" w:cs="仿宋_GB2312"/>
          <w:spacing w:val="-6"/>
          <w:kern w:val="0"/>
          <w:sz w:val="32"/>
          <w:szCs w:val="32"/>
          <w:lang w:val="en-US" w:eastAsia="zh-CN"/>
        </w:rPr>
        <w:t>3075万元</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折合3</w:t>
      </w:r>
      <w:r>
        <w:rPr>
          <w:rFonts w:hint="eastAsia" w:ascii="Times New Roman" w:hAnsi="Times New Roman" w:eastAsia="仿宋_GB2312" w:cs="仿宋_GB2312"/>
          <w:spacing w:val="-6"/>
          <w:kern w:val="0"/>
          <w:sz w:val="32"/>
          <w:szCs w:val="32"/>
        </w:rPr>
        <w:t>00万元/亩</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，年产值不低于</w:t>
      </w:r>
      <w:r>
        <w:rPr>
          <w:rFonts w:hint="eastAsia" w:ascii="Times New Roman" w:hAnsi="Times New Roman" w:eastAsia="仿宋_GB2312" w:cs="仿宋_GB2312"/>
          <w:spacing w:val="-6"/>
          <w:kern w:val="0"/>
          <w:sz w:val="32"/>
          <w:szCs w:val="32"/>
          <w:lang w:val="en-US" w:eastAsia="zh-CN"/>
        </w:rPr>
        <w:t>6150万元</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折合6</w:t>
      </w:r>
      <w:r>
        <w:rPr>
          <w:rFonts w:hint="eastAsia" w:ascii="Times New Roman" w:hAnsi="Times New Roman" w:eastAsia="仿宋_GB2312" w:cs="仿宋_GB2312"/>
          <w:spacing w:val="-6"/>
          <w:kern w:val="0"/>
          <w:sz w:val="32"/>
          <w:szCs w:val="32"/>
        </w:rPr>
        <w:t>00万元/亩</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，年税收不低于</w:t>
      </w:r>
      <w:r>
        <w:rPr>
          <w:rFonts w:hint="eastAsia" w:ascii="Times New Roman" w:hAnsi="Times New Roman" w:eastAsia="仿宋_GB2312" w:cs="仿宋_GB2312"/>
          <w:spacing w:val="-6"/>
          <w:kern w:val="0"/>
          <w:sz w:val="32"/>
          <w:szCs w:val="32"/>
          <w:lang w:val="en-US" w:eastAsia="zh-CN"/>
        </w:rPr>
        <w:t>307.50万元</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折合3</w:t>
      </w:r>
      <w:r>
        <w:rPr>
          <w:rFonts w:hint="eastAsia" w:ascii="Times New Roman" w:hAnsi="Times New Roman" w:eastAsia="仿宋_GB2312" w:cs="仿宋_GB2312"/>
          <w:spacing w:val="-6"/>
          <w:kern w:val="0"/>
          <w:sz w:val="32"/>
          <w:szCs w:val="32"/>
        </w:rPr>
        <w:t>0万元/亩</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w:t>
      </w:r>
    </w:p>
    <w:p w14:paraId="22EA4FB3">
      <w:pPr>
        <w:spacing w:line="574" w:lineRule="exact"/>
        <w:ind w:firstLine="616" w:firstLineChars="20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四、需办理的用地手续</w:t>
      </w:r>
    </w:p>
    <w:p w14:paraId="66A41ABD">
      <w:pPr>
        <w:spacing w:line="574" w:lineRule="exact"/>
        <w:ind w:firstLine="616" w:firstLineChars="200"/>
        <w:rPr>
          <w:rFonts w:ascii="Times New Roman" w:hAnsi="Times New Roman" w:eastAsia="楷体" w:cs="楷体"/>
          <w:spacing w:val="-6"/>
          <w:sz w:val="32"/>
          <w:szCs w:val="32"/>
        </w:rPr>
      </w:pPr>
      <w:bookmarkStart w:id="0" w:name="OLE_LINK20"/>
      <w:bookmarkStart w:id="1" w:name="OLE_LINK19"/>
      <w:r>
        <w:rPr>
          <w:rFonts w:hint="eastAsia" w:ascii="Times New Roman" w:hAnsi="Times New Roman" w:eastAsia="楷体" w:cs="楷体"/>
          <w:spacing w:val="-6"/>
          <w:sz w:val="32"/>
          <w:szCs w:val="32"/>
        </w:rPr>
        <w:t>（一）完善用地手续。</w:t>
      </w:r>
    </w:p>
    <w:p w14:paraId="2A57932F">
      <w:pPr>
        <w:ind w:firstLine="616"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根据《广东省旧城镇旧厂房旧村庄改造管理办法》（粤府令第279号）《广东省“三旧”改造标图入库和用地报批工作指引（2021年版）》（粤自然资函〔2021〕935号）相关规定，改造地块符合办理集体土地完善转用、集体建设用地转为国有建设用地手续的要求。</w:t>
      </w:r>
    </w:p>
    <w:p w14:paraId="6087793B">
      <w:pPr>
        <w:ind w:firstLine="616" w:firstLineChars="200"/>
        <w:rPr>
          <w:rFonts w:ascii="Times New Roman" w:hAnsi="Times New Roman" w:eastAsia="仿宋_GB2312"/>
          <w:spacing w:val="-6"/>
          <w:sz w:val="32"/>
          <w:szCs w:val="32"/>
        </w:rPr>
      </w:pPr>
      <w:r>
        <w:rPr>
          <w:rFonts w:hint="eastAsia" w:ascii="Times New Roman" w:hAnsi="Times New Roman" w:eastAsia="仿宋_GB2312" w:cs="仿宋_GB2312"/>
          <w:spacing w:val="-6"/>
          <w:sz w:val="32"/>
          <w:szCs w:val="32"/>
        </w:rPr>
        <w:t>改造项目范围内</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Times New Roman" w:hAnsi="Times New Roman" w:eastAsia="仿宋_GB2312" w:cs="仿宋_GB2312"/>
          <w:spacing w:val="-6"/>
          <w:sz w:val="32"/>
          <w:szCs w:val="32"/>
        </w:rPr>
        <w:t>需办理集体土地完善转用手续。上述用地完善用地手续后，由</w:t>
      </w:r>
      <w:r>
        <w:rPr>
          <w:rFonts w:hint="eastAsia" w:ascii="Times New Roman" w:hAnsi="Times New Roman" w:eastAsia="仿宋_GB2312" w:cs="仿宋_GB2312"/>
          <w:sz w:val="32"/>
          <w:szCs w:val="32"/>
        </w:rPr>
        <w:t>三沙股联社</w:t>
      </w:r>
      <w:r>
        <w:rPr>
          <w:rFonts w:hint="eastAsia" w:ascii="Times New Roman" w:hAnsi="Times New Roman" w:eastAsia="仿宋_GB2312" w:cs="仿宋_GB2312"/>
          <w:spacing w:val="-6"/>
          <w:sz w:val="32"/>
          <w:szCs w:val="32"/>
        </w:rPr>
        <w:t>自愿申请集体建设用地转为国有建设用地（具体以实际审批为准）。</w:t>
      </w:r>
    </w:p>
    <w:p w14:paraId="2A2BEFE4">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（二）土地供应。</w:t>
      </w:r>
    </w:p>
    <w:p w14:paraId="3BD0D005">
      <w:pPr>
        <w:spacing w:line="580" w:lineRule="exact"/>
        <w:ind w:firstLine="616"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根据《广东省旧城镇旧厂房旧村庄改造管理办法》（粤府令第279号）相关规定，改造地块符合协议出让的条件。</w:t>
      </w:r>
    </w:p>
    <w:p w14:paraId="0F50DEF8">
      <w:pPr>
        <w:ind w:firstLine="616" w:firstLineChars="200"/>
        <w:rPr>
          <w:rFonts w:ascii="Times New Roman" w:hAnsi="Times New Roman" w:eastAsia="仿宋_GB2312" w:cs="仿宋_GB2312"/>
          <w:sz w:val="24"/>
        </w:rPr>
      </w:pPr>
      <w:r>
        <w:rPr>
          <w:rFonts w:hint="eastAsia" w:ascii="Times New Roman" w:hAnsi="Times New Roman" w:eastAsia="仿宋_GB2312" w:cs="仿宋_GB2312"/>
          <w:spacing w:val="-6"/>
          <w:sz w:val="32"/>
          <w:szCs w:val="32"/>
        </w:rPr>
        <w:t>上述用地手续办结后</w:t>
      </w:r>
      <w:r>
        <w:rPr>
          <w:rFonts w:hint="eastAsia" w:ascii="Times New Roman" w:hAnsi="Times New Roman" w:eastAsia="仿宋_GB2312" w:cs="仿宋_GB2312"/>
          <w:sz w:val="32"/>
          <w:szCs w:val="32"/>
        </w:rPr>
        <w:t>，依据</w:t>
      </w:r>
      <w:r>
        <w:rPr>
          <w:rFonts w:hint="eastAsia" w:ascii="Times New Roman" w:hAnsi="Times New Roman" w:eastAsia="仿宋_GB2312" w:cs="仿宋_GB2312"/>
          <w:spacing w:val="-6"/>
          <w:kern w:val="0"/>
          <w:sz w:val="32"/>
          <w:szCs w:val="32"/>
        </w:rPr>
        <w:t>《</w:t>
      </w:r>
      <w:r>
        <w:rPr>
          <w:rFonts w:hint="eastAsia" w:ascii="Times New Roman" w:hAnsi="Times New Roman" w:eastAsia="仿宋_GB2312" w:cs="仿宋_GB2312"/>
          <w:spacing w:val="-6"/>
          <w:sz w:val="32"/>
          <w:szCs w:val="32"/>
        </w:rPr>
        <w:t>中山市西部产业园横栏三沙片区A单元规划</w:t>
      </w:r>
      <w:r>
        <w:rPr>
          <w:rFonts w:hint="eastAsia" w:ascii="Times New Roman" w:hAnsi="Times New Roman" w:eastAsia="仿宋_GB2312" w:cs="仿宋_GB2312"/>
          <w:spacing w:val="-6"/>
          <w:kern w:val="0"/>
          <w:sz w:val="32"/>
          <w:szCs w:val="32"/>
        </w:rPr>
        <w:t>》（中府函〔2024〕18号）</w:t>
      </w:r>
      <w:r>
        <w:rPr>
          <w:rFonts w:hint="eastAsia" w:ascii="Times New Roman" w:hAnsi="Times New Roman" w:eastAsia="仿宋_GB2312" w:cs="仿宋_GB2312"/>
          <w:spacing w:val="-6"/>
          <w:sz w:val="32"/>
          <w:szCs w:val="32"/>
        </w:rPr>
        <w:t>，将</w:t>
      </w:r>
      <w:r>
        <w:rPr>
          <w:rFonts w:hint="eastAsia" w:ascii="Times New Roman" w:hAnsi="Times New Roman" w:eastAsia="仿宋_GB2312" w:cs="仿宋_GB2312"/>
          <w:spacing w:val="-6"/>
          <w:kern w:val="0"/>
          <w:sz w:val="32"/>
          <w:szCs w:val="32"/>
          <w:highlight w:val="none"/>
        </w:rPr>
        <w:t>0.68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w:t>
      </w:r>
      <w:r>
        <w:rPr>
          <w:rFonts w:hint="eastAsia" w:ascii="Times New Roman" w:hAnsi="Times New Roman" w:eastAsia="仿宋_GB2312" w:cs="仿宋_GB2312"/>
          <w:spacing w:val="-6"/>
          <w:kern w:val="0"/>
          <w:sz w:val="32"/>
          <w:szCs w:val="32"/>
          <w:highlight w:val="none"/>
        </w:rPr>
        <w:t>公顷（68</w:t>
      </w:r>
      <w:r>
        <w:rPr>
          <w:rFonts w:hint="eastAsia" w:ascii="Times New Roman" w:hAnsi="Times New Roman" w:eastAsia="仿宋_GB2312" w:cs="仿宋_GB2312"/>
          <w:spacing w:val="-6"/>
          <w:kern w:val="0"/>
          <w:sz w:val="32"/>
          <w:szCs w:val="32"/>
          <w:highlight w:val="none"/>
          <w:lang w:eastAsia="zh-CN"/>
        </w:rPr>
        <w:t>3</w:t>
      </w:r>
      <w:r>
        <w:rPr>
          <w:rFonts w:hint="eastAsia" w:ascii="Times New Roman" w:hAnsi="Times New Roman" w:eastAsia="仿宋_GB2312" w:cs="仿宋_GB2312"/>
          <w:spacing w:val="-6"/>
          <w:kern w:val="0"/>
          <w:sz w:val="32"/>
          <w:szCs w:val="32"/>
          <w:highlight w:val="none"/>
          <w:lang w:val="en-US" w:eastAsia="zh-CN"/>
        </w:rPr>
        <w:t>0.18</w:t>
      </w:r>
      <w:r>
        <w:rPr>
          <w:rFonts w:hint="eastAsia" w:ascii="Times New Roman" w:hAnsi="Times New Roman" w:eastAsia="仿宋_GB2312" w:cs="仿宋_GB2312"/>
          <w:spacing w:val="-6"/>
          <w:kern w:val="0"/>
          <w:sz w:val="32"/>
          <w:szCs w:val="32"/>
          <w:highlight w:val="none"/>
        </w:rPr>
        <w:t>平方米，折合约10.2</w:t>
      </w:r>
      <w:r>
        <w:rPr>
          <w:rFonts w:hint="eastAsia" w:ascii="Times New Roman" w:hAnsi="Times New Roman" w:eastAsia="仿宋_GB2312" w:cs="仿宋_GB2312"/>
          <w:spacing w:val="-6"/>
          <w:kern w:val="0"/>
          <w:sz w:val="32"/>
          <w:szCs w:val="32"/>
          <w:highlight w:val="none"/>
          <w:lang w:eastAsia="zh-CN"/>
        </w:rPr>
        <w:t>5</w:t>
      </w:r>
      <w:r>
        <w:rPr>
          <w:rFonts w:hint="eastAsia" w:ascii="Times New Roman" w:hAnsi="Times New Roman" w:eastAsia="仿宋_GB2312" w:cs="仿宋_GB2312"/>
          <w:spacing w:val="-6"/>
          <w:kern w:val="0"/>
          <w:sz w:val="32"/>
          <w:szCs w:val="32"/>
          <w:highlight w:val="none"/>
        </w:rPr>
        <w:t>亩）</w:t>
      </w:r>
      <w:r>
        <w:rPr>
          <w:rFonts w:hint="eastAsia" w:ascii="Times New Roman" w:hAnsi="Times New Roman" w:eastAsia="仿宋_GB2312" w:cs="仿宋_GB2312"/>
          <w:spacing w:val="-6"/>
          <w:sz w:val="32"/>
          <w:szCs w:val="32"/>
        </w:rPr>
        <w:t>规划商业用地采取</w:t>
      </w:r>
      <w:r>
        <w:rPr>
          <w:rFonts w:hint="eastAsia" w:ascii="Times New Roman" w:hAnsi="Times New Roman" w:eastAsia="仿宋_GB2312" w:cs="仿宋_GB2312"/>
          <w:sz w:val="32"/>
          <w:szCs w:val="32"/>
        </w:rPr>
        <w:t>协议出让方式按容积率</w:t>
      </w:r>
      <w:r>
        <w:rPr>
          <w:rFonts w:hint="eastAsia" w:ascii="Times New Roman" w:hAnsi="Times New Roman" w:eastAsia="仿宋_GB2312" w:cs="仿宋_GB2312"/>
          <w:spacing w:val="-6"/>
          <w:sz w:val="32"/>
          <w:szCs w:val="32"/>
        </w:rPr>
        <w:t>4.0供地</w:t>
      </w:r>
      <w:r>
        <w:rPr>
          <w:rFonts w:hint="eastAsia" w:ascii="Times New Roman" w:hAnsi="Times New Roman" w:eastAsia="仿宋_GB2312" w:cs="仿宋_GB2312"/>
          <w:sz w:val="32"/>
          <w:szCs w:val="32"/>
        </w:rPr>
        <w:t>给三沙股联社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三沙股联社</w:t>
      </w:r>
      <w:r>
        <w:rPr>
          <w:rFonts w:hint="eastAsia" w:ascii="Times New Roman" w:hAnsi="Times New Roman" w:eastAsia="仿宋_GB2312" w:cs="仿宋_GB2312"/>
          <w:spacing w:val="-6"/>
          <w:kern w:val="0"/>
          <w:sz w:val="32"/>
          <w:szCs w:val="32"/>
        </w:rPr>
        <w:t>无偿移交建筑面积</w:t>
      </w:r>
      <w:r>
        <w:rPr>
          <w:rFonts w:hint="eastAsia" w:ascii="Times New Roman" w:hAnsi="Times New Roman" w:eastAsia="仿宋_GB2312" w:cs="仿宋_GB2312"/>
          <w:sz w:val="32"/>
          <w:szCs w:val="32"/>
          <w:lang w:val="en-US" w:eastAsia="zh-CN"/>
        </w:rPr>
        <w:t>2737.08平方米给横栏镇政府</w:t>
      </w:r>
      <w:r>
        <w:rPr>
          <w:rFonts w:hint="eastAsia" w:ascii="Times New Roman" w:hAnsi="Times New Roman" w:eastAsia="仿宋_GB2312" w:cs="仿宋_GB2312"/>
          <w:sz w:val="32"/>
          <w:szCs w:val="32"/>
        </w:rPr>
        <w:t>。</w:t>
      </w:r>
      <w:bookmarkEnd w:id="0"/>
      <w:bookmarkEnd w:id="1"/>
    </w:p>
    <w:p w14:paraId="41B68E57">
      <w:pPr>
        <w:pStyle w:val="19"/>
        <w:numPr>
          <w:ilvl w:val="0"/>
          <w:numId w:val="1"/>
        </w:numPr>
        <w:spacing w:line="574" w:lineRule="exact"/>
        <w:ind w:firstLineChars="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资金筹措</w:t>
      </w:r>
    </w:p>
    <w:p w14:paraId="193BC89F">
      <w:pPr>
        <w:spacing w:line="574"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cs="仿宋_GB2312"/>
          <w:spacing w:val="-6"/>
          <w:sz w:val="32"/>
          <w:szCs w:val="32"/>
        </w:rPr>
        <w:t>拟由三沙股联社投入资金不少于</w:t>
      </w:r>
      <w:r>
        <w:rPr>
          <w:rFonts w:hint="eastAsia" w:ascii="Times New Roman" w:hAnsi="Times New Roman" w:eastAsia="仿宋_GB2312" w:cs="仿宋_GB2312"/>
          <w:spacing w:val="-6"/>
          <w:sz w:val="32"/>
          <w:szCs w:val="32"/>
          <w:lang w:val="en-US" w:eastAsia="zh-CN"/>
        </w:rPr>
        <w:t>3075</w:t>
      </w:r>
      <w:r>
        <w:rPr>
          <w:rFonts w:hint="eastAsia" w:ascii="Times New Roman" w:hAnsi="Times New Roman" w:eastAsia="仿宋_GB2312" w:cs="仿宋_GB2312"/>
          <w:spacing w:val="-6"/>
          <w:sz w:val="32"/>
          <w:szCs w:val="32"/>
        </w:rPr>
        <w:t>万元开发建设</w:t>
      </w:r>
      <w:bookmarkStart w:id="2" w:name="OLE_LINK17"/>
      <w:bookmarkStart w:id="3" w:name="OLE_LINK18"/>
      <w:r>
        <w:rPr>
          <w:rFonts w:hint="eastAsia" w:ascii="Times New Roman" w:hAnsi="Times New Roman" w:eastAsia="仿宋_GB2312" w:cs="仿宋_GB2312"/>
          <w:spacing w:val="-6"/>
          <w:sz w:val="32"/>
          <w:szCs w:val="32"/>
        </w:rPr>
        <w:t>，通过银行贷</w:t>
      </w:r>
      <w:r>
        <w:rPr>
          <w:rFonts w:hint="eastAsia" w:ascii="Times New Roman" w:hAnsi="Times New Roman" w:eastAsia="仿宋_GB2312" w:cs="仿宋_GB2312"/>
          <w:spacing w:val="-6"/>
          <w:sz w:val="32"/>
          <w:szCs w:val="32"/>
          <w:highlight w:val="none"/>
        </w:rPr>
        <w:t>款筹集资金</w:t>
      </w:r>
      <w:r>
        <w:rPr>
          <w:rFonts w:hint="eastAsia" w:ascii="Times New Roman" w:hAnsi="Times New Roman" w:eastAsia="仿宋_GB2312" w:cs="仿宋_GB2312"/>
          <w:spacing w:val="-6"/>
          <w:sz w:val="32"/>
          <w:szCs w:val="32"/>
          <w:highlight w:val="none"/>
          <w:lang w:val="en-US" w:eastAsia="zh-CN"/>
        </w:rPr>
        <w:t>3075</w:t>
      </w:r>
      <w:r>
        <w:rPr>
          <w:rFonts w:hint="eastAsia" w:ascii="Times New Roman" w:hAnsi="Times New Roman" w:eastAsia="仿宋_GB2312" w:cs="仿宋_GB2312"/>
          <w:spacing w:val="-6"/>
          <w:sz w:val="32"/>
          <w:szCs w:val="32"/>
          <w:highlight w:val="none"/>
        </w:rPr>
        <w:t>万元</w:t>
      </w:r>
      <w:r>
        <w:rPr>
          <w:rFonts w:hint="eastAsia" w:ascii="Times New Roman" w:hAnsi="Times New Roman" w:eastAsia="仿宋_GB2312"/>
          <w:spacing w:val="-6"/>
          <w:sz w:val="32"/>
          <w:szCs w:val="32"/>
          <w:highlight w:val="none"/>
        </w:rPr>
        <w:t>。</w:t>
      </w:r>
      <w:bookmarkEnd w:id="2"/>
      <w:bookmarkEnd w:id="3"/>
    </w:p>
    <w:p w14:paraId="2D06E05B">
      <w:pPr>
        <w:pStyle w:val="19"/>
        <w:numPr>
          <w:ilvl w:val="0"/>
          <w:numId w:val="1"/>
        </w:numPr>
        <w:spacing w:line="574" w:lineRule="exact"/>
        <w:ind w:firstLineChars="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开发时序</w:t>
      </w:r>
    </w:p>
    <w:p w14:paraId="60DCCF43">
      <w:pPr>
        <w:spacing w:line="574" w:lineRule="exact"/>
        <w:ind w:firstLine="640"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z w:val="32"/>
          <w:szCs w:val="32"/>
        </w:rPr>
        <w:t>项目开发周期为3年，自交付土地之日起365日内开工，自开工之日起1095日内竣工，拟投入资金不少于</w:t>
      </w:r>
      <w:r>
        <w:rPr>
          <w:rFonts w:hint="eastAsia" w:ascii="Times New Roman" w:hAnsi="Times New Roman" w:eastAsia="仿宋_GB2312" w:cs="仿宋_GB2312"/>
          <w:sz w:val="32"/>
          <w:szCs w:val="32"/>
          <w:lang w:val="en-US" w:eastAsia="zh-CN"/>
        </w:rPr>
        <w:t>3075</w:t>
      </w:r>
      <w:r>
        <w:rPr>
          <w:rFonts w:hint="eastAsia" w:ascii="Times New Roman" w:hAnsi="Times New Roman" w:eastAsia="仿宋_GB2312" w:cs="仿宋_GB2312"/>
          <w:sz w:val="32"/>
          <w:szCs w:val="32"/>
        </w:rPr>
        <w:t>万元，拟建建筑面积</w:t>
      </w:r>
      <w:r>
        <w:rPr>
          <w:rFonts w:hint="eastAsia" w:ascii="Times New Roman" w:hAnsi="Times New Roman" w:eastAsia="仿宋_GB2312" w:cs="仿宋_GB2312"/>
          <w:spacing w:val="-6"/>
          <w:kern w:val="0"/>
          <w:sz w:val="32"/>
          <w:szCs w:val="32"/>
          <w:highlight w:val="none"/>
          <w:lang w:eastAsia="zh-CN"/>
        </w:rPr>
        <w:t>1</w:t>
      </w:r>
      <w:r>
        <w:rPr>
          <w:rFonts w:hint="eastAsia" w:ascii="Times New Roman" w:hAnsi="Times New Roman" w:eastAsia="仿宋_GB2312" w:cs="仿宋_GB2312"/>
          <w:spacing w:val="-6"/>
          <w:kern w:val="0"/>
          <w:sz w:val="32"/>
          <w:szCs w:val="32"/>
          <w:highlight w:val="none"/>
          <w:lang w:val="en-US" w:eastAsia="zh-CN"/>
        </w:rPr>
        <w:t>3660.37</w:t>
      </w:r>
      <w:r>
        <w:rPr>
          <w:rFonts w:hint="eastAsia" w:ascii="Times New Roman" w:hAnsi="Times New Roman" w:eastAsia="仿宋_GB2312" w:cs="仿宋_GB2312"/>
          <w:sz w:val="32"/>
          <w:szCs w:val="32"/>
        </w:rPr>
        <w:t>平方米（不含不计容面积）主要实施建设</w:t>
      </w:r>
      <w:r>
        <w:rPr>
          <w:rFonts w:hint="eastAsia" w:ascii="Times New Roman" w:hAnsi="Times New Roman" w:eastAsia="仿宋_GB2312" w:cs="仿宋_GB2312"/>
          <w:sz w:val="32"/>
          <w:szCs w:val="32"/>
          <w:lang w:val="en-US" w:eastAsia="zh-CN"/>
        </w:rPr>
        <w:t>百货商场和公寓</w:t>
      </w:r>
      <w:r>
        <w:rPr>
          <w:rFonts w:hint="eastAsia" w:ascii="Times New Roman" w:hAnsi="Times New Roman" w:eastAsia="仿宋_GB2312" w:cs="仿宋_GB2312"/>
          <w:spacing w:val="-6"/>
          <w:sz w:val="32"/>
          <w:szCs w:val="32"/>
        </w:rPr>
        <w:t>。</w:t>
      </w:r>
    </w:p>
    <w:p w14:paraId="703A3CB4">
      <w:pPr>
        <w:spacing w:line="574" w:lineRule="exact"/>
        <w:ind w:firstLine="616" w:firstLineChars="200"/>
        <w:rPr>
          <w:rFonts w:ascii="Times New Roman" w:hAnsi="Times New Roman"/>
        </w:rPr>
      </w:pPr>
      <w:r>
        <w:rPr>
          <w:rFonts w:hint="eastAsia" w:ascii="Times New Roman" w:hAnsi="Times New Roman" w:eastAsia="黑体"/>
          <w:spacing w:val="-6"/>
          <w:kern w:val="0"/>
          <w:sz w:val="32"/>
          <w:szCs w:val="32"/>
        </w:rPr>
        <w:t>七、实施监管</w:t>
      </w:r>
    </w:p>
    <w:p w14:paraId="7DCDC280">
      <w:pPr>
        <w:spacing w:line="574"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以</w:t>
      </w:r>
      <w:r>
        <w:rPr>
          <w:rFonts w:hint="eastAsia" w:ascii="Times New Roman" w:hAnsi="Times New Roman" w:eastAsia="仿宋_GB2312" w:cs="仿宋_GB2312"/>
          <w:spacing w:val="-6"/>
          <w:sz w:val="32"/>
          <w:szCs w:val="32"/>
        </w:rPr>
        <w:t>横栏镇政府</w:t>
      </w:r>
      <w:r>
        <w:rPr>
          <w:rFonts w:hint="eastAsia" w:ascii="Times New Roman" w:hAnsi="Times New Roman" w:eastAsia="仿宋_GB2312"/>
          <w:spacing w:val="-6"/>
          <w:sz w:val="32"/>
          <w:szCs w:val="32"/>
        </w:rPr>
        <w:t>与改造主体签订的监管协议为准。</w:t>
      </w:r>
    </w:p>
    <w:sectPr>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33A40"/>
    <w:multiLevelType w:val="multilevel"/>
    <w:tmpl w:val="44633A40"/>
    <w:lvl w:ilvl="0" w:tentative="0">
      <w:start w:val="5"/>
      <w:numFmt w:val="japaneseCounting"/>
      <w:lvlText w:val="%1、"/>
      <w:lvlJc w:val="left"/>
      <w:pPr>
        <w:ind w:left="1336" w:hanging="720"/>
      </w:pPr>
      <w:rPr>
        <w:rFonts w:hint="default"/>
      </w:rPr>
    </w:lvl>
    <w:lvl w:ilvl="1" w:tentative="0">
      <w:start w:val="1"/>
      <w:numFmt w:val="lowerLetter"/>
      <w:lvlText w:val="%2)"/>
      <w:lvlJc w:val="left"/>
      <w:pPr>
        <w:ind w:left="1456" w:hanging="420"/>
      </w:pPr>
    </w:lvl>
    <w:lvl w:ilvl="2" w:tentative="0">
      <w:start w:val="1"/>
      <w:numFmt w:val="lowerRoman"/>
      <w:lvlText w:val="%3."/>
      <w:lvlJc w:val="right"/>
      <w:pPr>
        <w:ind w:left="1876" w:hanging="420"/>
      </w:pPr>
    </w:lvl>
    <w:lvl w:ilvl="3" w:tentative="0">
      <w:start w:val="1"/>
      <w:numFmt w:val="decimal"/>
      <w:lvlText w:val="%4."/>
      <w:lvlJc w:val="left"/>
      <w:pPr>
        <w:ind w:left="2296" w:hanging="420"/>
      </w:pPr>
    </w:lvl>
    <w:lvl w:ilvl="4" w:tentative="0">
      <w:start w:val="1"/>
      <w:numFmt w:val="lowerLetter"/>
      <w:lvlText w:val="%5)"/>
      <w:lvlJc w:val="left"/>
      <w:pPr>
        <w:ind w:left="2716" w:hanging="420"/>
      </w:pPr>
    </w:lvl>
    <w:lvl w:ilvl="5" w:tentative="0">
      <w:start w:val="1"/>
      <w:numFmt w:val="lowerRoman"/>
      <w:lvlText w:val="%6."/>
      <w:lvlJc w:val="right"/>
      <w:pPr>
        <w:ind w:left="3136" w:hanging="420"/>
      </w:pPr>
    </w:lvl>
    <w:lvl w:ilvl="6" w:tentative="0">
      <w:start w:val="1"/>
      <w:numFmt w:val="decimal"/>
      <w:lvlText w:val="%7."/>
      <w:lvlJc w:val="left"/>
      <w:pPr>
        <w:ind w:left="3556" w:hanging="420"/>
      </w:pPr>
    </w:lvl>
    <w:lvl w:ilvl="7" w:tentative="0">
      <w:start w:val="1"/>
      <w:numFmt w:val="lowerLetter"/>
      <w:lvlText w:val="%8)"/>
      <w:lvlJc w:val="left"/>
      <w:pPr>
        <w:ind w:left="3976" w:hanging="420"/>
      </w:pPr>
    </w:lvl>
    <w:lvl w:ilvl="8" w:tentative="0">
      <w:start w:val="1"/>
      <w:numFmt w:val="lowerRoman"/>
      <w:lvlText w:val="%9."/>
      <w:lvlJc w:val="right"/>
      <w:pPr>
        <w:ind w:left="43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WNlZjBhOTFiMjRkNmQ2ZGY2ZWVmYmUzMjJhODAifQ=="/>
  </w:docVars>
  <w:rsids>
    <w:rsidRoot w:val="1516212F"/>
    <w:rsid w:val="00010BE0"/>
    <w:rsid w:val="0001734E"/>
    <w:rsid w:val="000269C8"/>
    <w:rsid w:val="000365C8"/>
    <w:rsid w:val="000800D5"/>
    <w:rsid w:val="000D3F49"/>
    <w:rsid w:val="000F57A8"/>
    <w:rsid w:val="00100AF5"/>
    <w:rsid w:val="00103B3E"/>
    <w:rsid w:val="0011256E"/>
    <w:rsid w:val="00115B2B"/>
    <w:rsid w:val="00132EE1"/>
    <w:rsid w:val="00152249"/>
    <w:rsid w:val="0019036C"/>
    <w:rsid w:val="00194E51"/>
    <w:rsid w:val="001A5A2E"/>
    <w:rsid w:val="001D3D4E"/>
    <w:rsid w:val="001F5939"/>
    <w:rsid w:val="002105E2"/>
    <w:rsid w:val="00254CDC"/>
    <w:rsid w:val="00281485"/>
    <w:rsid w:val="002848F3"/>
    <w:rsid w:val="002A3EC0"/>
    <w:rsid w:val="002D4350"/>
    <w:rsid w:val="002E4562"/>
    <w:rsid w:val="00310C2F"/>
    <w:rsid w:val="00316D27"/>
    <w:rsid w:val="00324960"/>
    <w:rsid w:val="003262A7"/>
    <w:rsid w:val="00343350"/>
    <w:rsid w:val="003530BD"/>
    <w:rsid w:val="003666B0"/>
    <w:rsid w:val="00375B36"/>
    <w:rsid w:val="0038237A"/>
    <w:rsid w:val="00391493"/>
    <w:rsid w:val="003B0AFF"/>
    <w:rsid w:val="003C64C9"/>
    <w:rsid w:val="003D27F4"/>
    <w:rsid w:val="00407093"/>
    <w:rsid w:val="00412C24"/>
    <w:rsid w:val="00423600"/>
    <w:rsid w:val="0043023C"/>
    <w:rsid w:val="004625C5"/>
    <w:rsid w:val="004B7CFD"/>
    <w:rsid w:val="004C6D9F"/>
    <w:rsid w:val="004D0830"/>
    <w:rsid w:val="004E3B12"/>
    <w:rsid w:val="004E6BEF"/>
    <w:rsid w:val="00502E71"/>
    <w:rsid w:val="00514750"/>
    <w:rsid w:val="00541948"/>
    <w:rsid w:val="00556EC1"/>
    <w:rsid w:val="00591167"/>
    <w:rsid w:val="00597873"/>
    <w:rsid w:val="005D747C"/>
    <w:rsid w:val="006005F1"/>
    <w:rsid w:val="00601DE7"/>
    <w:rsid w:val="00604FB0"/>
    <w:rsid w:val="006063AA"/>
    <w:rsid w:val="00621F8C"/>
    <w:rsid w:val="00633020"/>
    <w:rsid w:val="006335D3"/>
    <w:rsid w:val="00665687"/>
    <w:rsid w:val="0066630C"/>
    <w:rsid w:val="006832F3"/>
    <w:rsid w:val="00686F1C"/>
    <w:rsid w:val="006B0CE0"/>
    <w:rsid w:val="006C4416"/>
    <w:rsid w:val="006D3B7E"/>
    <w:rsid w:val="006D61D8"/>
    <w:rsid w:val="006F0076"/>
    <w:rsid w:val="007034F1"/>
    <w:rsid w:val="007165FC"/>
    <w:rsid w:val="007428F9"/>
    <w:rsid w:val="00766575"/>
    <w:rsid w:val="0079179C"/>
    <w:rsid w:val="00794B74"/>
    <w:rsid w:val="008059F3"/>
    <w:rsid w:val="00824926"/>
    <w:rsid w:val="00831D42"/>
    <w:rsid w:val="00831F11"/>
    <w:rsid w:val="0084607A"/>
    <w:rsid w:val="00861E0D"/>
    <w:rsid w:val="0086441D"/>
    <w:rsid w:val="00874AB1"/>
    <w:rsid w:val="00874C23"/>
    <w:rsid w:val="008940EF"/>
    <w:rsid w:val="00897CB0"/>
    <w:rsid w:val="008E7724"/>
    <w:rsid w:val="008F4912"/>
    <w:rsid w:val="00910ED2"/>
    <w:rsid w:val="00922B3F"/>
    <w:rsid w:val="00925F28"/>
    <w:rsid w:val="00937731"/>
    <w:rsid w:val="009419C7"/>
    <w:rsid w:val="00943D01"/>
    <w:rsid w:val="009754DB"/>
    <w:rsid w:val="00975C42"/>
    <w:rsid w:val="00982BEB"/>
    <w:rsid w:val="009923C2"/>
    <w:rsid w:val="009A34CD"/>
    <w:rsid w:val="009A5732"/>
    <w:rsid w:val="009A7285"/>
    <w:rsid w:val="009B7D6B"/>
    <w:rsid w:val="009C18C7"/>
    <w:rsid w:val="009C6ED5"/>
    <w:rsid w:val="009D7383"/>
    <w:rsid w:val="009E0EF6"/>
    <w:rsid w:val="00A37D22"/>
    <w:rsid w:val="00A404BE"/>
    <w:rsid w:val="00A656C5"/>
    <w:rsid w:val="00A700BA"/>
    <w:rsid w:val="00A70190"/>
    <w:rsid w:val="00A92291"/>
    <w:rsid w:val="00AB2C26"/>
    <w:rsid w:val="00AB6330"/>
    <w:rsid w:val="00AD3CCA"/>
    <w:rsid w:val="00AD4FC3"/>
    <w:rsid w:val="00AE792A"/>
    <w:rsid w:val="00B123D9"/>
    <w:rsid w:val="00B33860"/>
    <w:rsid w:val="00B411D4"/>
    <w:rsid w:val="00B67ACD"/>
    <w:rsid w:val="00B817D4"/>
    <w:rsid w:val="00B821CE"/>
    <w:rsid w:val="00B83467"/>
    <w:rsid w:val="00B83D30"/>
    <w:rsid w:val="00B84AAC"/>
    <w:rsid w:val="00BB5C69"/>
    <w:rsid w:val="00BF27A8"/>
    <w:rsid w:val="00BF63CC"/>
    <w:rsid w:val="00BF6D5B"/>
    <w:rsid w:val="00C02877"/>
    <w:rsid w:val="00C54C59"/>
    <w:rsid w:val="00C57F51"/>
    <w:rsid w:val="00C60F5F"/>
    <w:rsid w:val="00C617D0"/>
    <w:rsid w:val="00CB1C0E"/>
    <w:rsid w:val="00CB6180"/>
    <w:rsid w:val="00CC11BF"/>
    <w:rsid w:val="00CF55F7"/>
    <w:rsid w:val="00CF5AA5"/>
    <w:rsid w:val="00D13FF3"/>
    <w:rsid w:val="00D42883"/>
    <w:rsid w:val="00D5313F"/>
    <w:rsid w:val="00D567CE"/>
    <w:rsid w:val="00DA0A5B"/>
    <w:rsid w:val="00DA522B"/>
    <w:rsid w:val="00DC42AF"/>
    <w:rsid w:val="00DD5BFF"/>
    <w:rsid w:val="00E06511"/>
    <w:rsid w:val="00E249AF"/>
    <w:rsid w:val="00E37091"/>
    <w:rsid w:val="00E659DF"/>
    <w:rsid w:val="00E91032"/>
    <w:rsid w:val="00E95BFD"/>
    <w:rsid w:val="00EB78B1"/>
    <w:rsid w:val="00EC5C43"/>
    <w:rsid w:val="00EE0AF9"/>
    <w:rsid w:val="00EE72B4"/>
    <w:rsid w:val="00EF2B0D"/>
    <w:rsid w:val="00F05D01"/>
    <w:rsid w:val="00F11D04"/>
    <w:rsid w:val="00F32FD0"/>
    <w:rsid w:val="00F530A9"/>
    <w:rsid w:val="00F63DE4"/>
    <w:rsid w:val="00FA1EF1"/>
    <w:rsid w:val="00FA2896"/>
    <w:rsid w:val="00FA3484"/>
    <w:rsid w:val="00FA566C"/>
    <w:rsid w:val="00FC3AB0"/>
    <w:rsid w:val="00FC4D01"/>
    <w:rsid w:val="00FD7509"/>
    <w:rsid w:val="00FF560D"/>
    <w:rsid w:val="01647D14"/>
    <w:rsid w:val="0191141F"/>
    <w:rsid w:val="01E668DA"/>
    <w:rsid w:val="02DE676A"/>
    <w:rsid w:val="03BF2238"/>
    <w:rsid w:val="0423578B"/>
    <w:rsid w:val="043E569E"/>
    <w:rsid w:val="045D5EEF"/>
    <w:rsid w:val="04A7305F"/>
    <w:rsid w:val="04DA27D8"/>
    <w:rsid w:val="052E7ABA"/>
    <w:rsid w:val="06683691"/>
    <w:rsid w:val="07670CE6"/>
    <w:rsid w:val="07672325"/>
    <w:rsid w:val="080A46A7"/>
    <w:rsid w:val="0A8C730D"/>
    <w:rsid w:val="0AEA344A"/>
    <w:rsid w:val="0B372620"/>
    <w:rsid w:val="0B6D524B"/>
    <w:rsid w:val="0B9811F7"/>
    <w:rsid w:val="0E7B1723"/>
    <w:rsid w:val="0FD26160"/>
    <w:rsid w:val="11064D50"/>
    <w:rsid w:val="12DF0CC5"/>
    <w:rsid w:val="1516212F"/>
    <w:rsid w:val="1631337C"/>
    <w:rsid w:val="16D677E3"/>
    <w:rsid w:val="19827B1C"/>
    <w:rsid w:val="1A404E93"/>
    <w:rsid w:val="1A5743C8"/>
    <w:rsid w:val="1AF85B0A"/>
    <w:rsid w:val="1CDC5CA8"/>
    <w:rsid w:val="1DF3687A"/>
    <w:rsid w:val="1F235420"/>
    <w:rsid w:val="22086ABC"/>
    <w:rsid w:val="23400237"/>
    <w:rsid w:val="23D53AE2"/>
    <w:rsid w:val="257F5E38"/>
    <w:rsid w:val="265E1792"/>
    <w:rsid w:val="275928D6"/>
    <w:rsid w:val="279201A2"/>
    <w:rsid w:val="286012C1"/>
    <w:rsid w:val="28901690"/>
    <w:rsid w:val="28A922C1"/>
    <w:rsid w:val="29632812"/>
    <w:rsid w:val="29FE3684"/>
    <w:rsid w:val="2D59243C"/>
    <w:rsid w:val="2E7A6A28"/>
    <w:rsid w:val="2EA60904"/>
    <w:rsid w:val="304A04DE"/>
    <w:rsid w:val="31347607"/>
    <w:rsid w:val="323416D5"/>
    <w:rsid w:val="32935DEB"/>
    <w:rsid w:val="337223AA"/>
    <w:rsid w:val="3458723D"/>
    <w:rsid w:val="364C2B74"/>
    <w:rsid w:val="39170E93"/>
    <w:rsid w:val="396F1351"/>
    <w:rsid w:val="3A594494"/>
    <w:rsid w:val="3B51713D"/>
    <w:rsid w:val="3C01646A"/>
    <w:rsid w:val="3CB97E53"/>
    <w:rsid w:val="3CC571DC"/>
    <w:rsid w:val="3D2B6B3A"/>
    <w:rsid w:val="3DB63159"/>
    <w:rsid w:val="3F094F8B"/>
    <w:rsid w:val="3F2301EA"/>
    <w:rsid w:val="3F7D5B4C"/>
    <w:rsid w:val="42226BB2"/>
    <w:rsid w:val="42822AC9"/>
    <w:rsid w:val="44E11DB1"/>
    <w:rsid w:val="46316AD7"/>
    <w:rsid w:val="4A323F81"/>
    <w:rsid w:val="4B36505C"/>
    <w:rsid w:val="4CA752E9"/>
    <w:rsid w:val="4D6376CF"/>
    <w:rsid w:val="4DC4703C"/>
    <w:rsid w:val="4EB6418D"/>
    <w:rsid w:val="4EE57A89"/>
    <w:rsid w:val="549F0194"/>
    <w:rsid w:val="556B26F9"/>
    <w:rsid w:val="5AD35FCE"/>
    <w:rsid w:val="5B9C4F32"/>
    <w:rsid w:val="5CE60816"/>
    <w:rsid w:val="5E903127"/>
    <w:rsid w:val="5FB60CE2"/>
    <w:rsid w:val="641446D0"/>
    <w:rsid w:val="65A21076"/>
    <w:rsid w:val="65D94709"/>
    <w:rsid w:val="66F94EC3"/>
    <w:rsid w:val="68B309A3"/>
    <w:rsid w:val="69CB1A7B"/>
    <w:rsid w:val="6B3D1895"/>
    <w:rsid w:val="6C382C6C"/>
    <w:rsid w:val="6C5D08B4"/>
    <w:rsid w:val="6E2232A2"/>
    <w:rsid w:val="6FDE4ADD"/>
    <w:rsid w:val="70432485"/>
    <w:rsid w:val="70AF5A9E"/>
    <w:rsid w:val="70E92CB2"/>
    <w:rsid w:val="72516DE5"/>
    <w:rsid w:val="7311429D"/>
    <w:rsid w:val="732A587E"/>
    <w:rsid w:val="739A7D73"/>
    <w:rsid w:val="749328C8"/>
    <w:rsid w:val="75F22F88"/>
    <w:rsid w:val="761A1621"/>
    <w:rsid w:val="78D771DB"/>
    <w:rsid w:val="79120909"/>
    <w:rsid w:val="79633546"/>
    <w:rsid w:val="79D6482E"/>
    <w:rsid w:val="7CCC3693"/>
    <w:rsid w:val="7D1E7DEF"/>
    <w:rsid w:val="7E15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0"/>
    <w:pPr>
      <w:jc w:val="left"/>
    </w:pPr>
  </w:style>
  <w:style w:type="paragraph" w:styleId="4">
    <w:name w:val="Balloon Text"/>
    <w:basedOn w:val="1"/>
    <w:link w:val="21"/>
    <w:autoRedefine/>
    <w:qFormat/>
    <w:uiPriority w:val="0"/>
    <w:rPr>
      <w:sz w:val="18"/>
      <w:szCs w:val="18"/>
    </w:rPr>
  </w:style>
  <w:style w:type="paragraph" w:styleId="5">
    <w:name w:val="footer"/>
    <w:basedOn w:val="1"/>
    <w:link w:val="16"/>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8"/>
    <w:autoRedefine/>
    <w:unhideWhenUsed/>
    <w:qFormat/>
    <w:uiPriority w:val="0"/>
    <w:pPr>
      <w:snapToGrid w:val="0"/>
      <w:jc w:val="left"/>
    </w:pPr>
    <w:rPr>
      <w:rFonts w:ascii="Times New Roman" w:hAnsi="Times New Roman"/>
      <w:sz w:val="18"/>
      <w:szCs w:val="18"/>
    </w:rPr>
  </w:style>
  <w:style w:type="paragraph" w:styleId="8">
    <w:name w:val="annotation subject"/>
    <w:basedOn w:val="3"/>
    <w:next w:val="3"/>
    <w:link w:val="23"/>
    <w:autoRedefine/>
    <w:qFormat/>
    <w:uiPriority w:val="0"/>
    <w:rPr>
      <w:b/>
      <w:bCs/>
    </w:rPr>
  </w:style>
  <w:style w:type="character" w:styleId="11">
    <w:name w:val="annotation reference"/>
    <w:basedOn w:val="10"/>
    <w:qFormat/>
    <w:uiPriority w:val="0"/>
    <w:rPr>
      <w:sz w:val="21"/>
      <w:szCs w:val="21"/>
    </w:rPr>
  </w:style>
  <w:style w:type="character" w:styleId="12">
    <w:name w:val="footnote reference"/>
    <w:autoRedefine/>
    <w:unhideWhenUsed/>
    <w:qFormat/>
    <w:uiPriority w:val="0"/>
    <w:rPr>
      <w:vertAlign w:val="superscript"/>
    </w:rPr>
  </w:style>
  <w:style w:type="paragraph" w:customStyle="1" w:styleId="13">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14">
    <w:name w:val="修订2"/>
    <w:autoRedefine/>
    <w:hidden/>
    <w:semiHidden/>
    <w:qFormat/>
    <w:uiPriority w:val="99"/>
    <w:rPr>
      <w:rFonts w:ascii="Calibri" w:hAnsi="Calibri" w:eastAsia="宋体" w:cs="Times New Roman"/>
      <w:kern w:val="2"/>
      <w:sz w:val="21"/>
      <w:szCs w:val="24"/>
      <w:lang w:val="en-US" w:eastAsia="zh-CN" w:bidi="ar-SA"/>
    </w:rPr>
  </w:style>
  <w:style w:type="character" w:customStyle="1" w:styleId="15">
    <w:name w:val="页眉 Char"/>
    <w:basedOn w:val="10"/>
    <w:link w:val="6"/>
    <w:autoRedefine/>
    <w:qFormat/>
    <w:uiPriority w:val="0"/>
    <w:rPr>
      <w:rFonts w:ascii="Calibri" w:hAnsi="Calibri"/>
      <w:kern w:val="2"/>
      <w:sz w:val="18"/>
      <w:szCs w:val="18"/>
    </w:rPr>
  </w:style>
  <w:style w:type="character" w:customStyle="1" w:styleId="16">
    <w:name w:val="页脚 Char"/>
    <w:basedOn w:val="10"/>
    <w:link w:val="5"/>
    <w:autoRedefine/>
    <w:qFormat/>
    <w:uiPriority w:val="0"/>
    <w:rPr>
      <w:rFonts w:ascii="Calibri" w:hAnsi="Calibri"/>
      <w:kern w:val="2"/>
      <w:sz w:val="18"/>
      <w:szCs w:val="18"/>
    </w:rPr>
  </w:style>
  <w:style w:type="paragraph" w:customStyle="1" w:styleId="17">
    <w:name w:val="修订3"/>
    <w:hidden/>
    <w:semiHidden/>
    <w:qFormat/>
    <w:uiPriority w:val="99"/>
    <w:rPr>
      <w:rFonts w:ascii="Calibri" w:hAnsi="Calibri" w:eastAsia="宋体" w:cs="Times New Roman"/>
      <w:kern w:val="2"/>
      <w:sz w:val="21"/>
      <w:szCs w:val="24"/>
      <w:lang w:val="en-US" w:eastAsia="zh-CN" w:bidi="ar-SA"/>
    </w:rPr>
  </w:style>
  <w:style w:type="character" w:customStyle="1" w:styleId="18">
    <w:name w:val="脚注文本 Char"/>
    <w:basedOn w:val="10"/>
    <w:link w:val="7"/>
    <w:autoRedefine/>
    <w:qFormat/>
    <w:uiPriority w:val="0"/>
    <w:rPr>
      <w:kern w:val="2"/>
      <w:sz w:val="18"/>
      <w:szCs w:val="18"/>
    </w:rPr>
  </w:style>
  <w:style w:type="paragraph" w:styleId="19">
    <w:name w:val="List Paragraph"/>
    <w:basedOn w:val="1"/>
    <w:autoRedefine/>
    <w:unhideWhenUsed/>
    <w:qFormat/>
    <w:uiPriority w:val="99"/>
    <w:pPr>
      <w:ind w:firstLine="42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批注框文本 Char"/>
    <w:basedOn w:val="10"/>
    <w:link w:val="4"/>
    <w:autoRedefine/>
    <w:qFormat/>
    <w:uiPriority w:val="0"/>
    <w:rPr>
      <w:rFonts w:ascii="Calibri" w:hAnsi="Calibri"/>
      <w:kern w:val="2"/>
      <w:sz w:val="18"/>
      <w:szCs w:val="18"/>
    </w:rPr>
  </w:style>
  <w:style w:type="character" w:customStyle="1" w:styleId="22">
    <w:name w:val="批注文字 Char"/>
    <w:basedOn w:val="10"/>
    <w:link w:val="3"/>
    <w:autoRedefine/>
    <w:qFormat/>
    <w:uiPriority w:val="0"/>
    <w:rPr>
      <w:rFonts w:ascii="Calibri" w:hAnsi="Calibri"/>
      <w:kern w:val="2"/>
      <w:sz w:val="21"/>
      <w:szCs w:val="24"/>
    </w:rPr>
  </w:style>
  <w:style w:type="character" w:customStyle="1" w:styleId="23">
    <w:name w:val="批注主题 Char"/>
    <w:basedOn w:val="22"/>
    <w:link w:val="8"/>
    <w:autoRedefine/>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3CFCD-A3AA-42C2-88B5-C9185DE0E5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1916</Words>
  <Characters>2110</Characters>
  <Lines>2</Lines>
  <Paragraphs>4</Paragraphs>
  <TotalTime>0</TotalTime>
  <ScaleCrop>false</ScaleCrop>
  <LinksUpToDate>false</LinksUpToDate>
  <CharactersWithSpaces>2110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2023-06-01T01:35:00Z</dcterms:created>
  <dc:creator>均子</dc:creator>
  <cp:lastModifiedBy>Administrator</cp:lastModifiedBy>
  <dcterms:modified xsi:type="dcterms:W3CDTF">2025-03-11T07:51:03Z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C995E6D1A90E49FA8CB64B28E5BDB92A_13</vt:lpwstr>
  </property>
</Properties>
</file>