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F5B6">
      <w:pPr>
        <w:spacing w:line="574" w:lineRule="exact"/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横栏镇三沙股份合作经济联合社工改项目</w:t>
      </w:r>
    </w:p>
    <w:p w14:paraId="19889DA5">
      <w:pPr>
        <w:spacing w:line="574" w:lineRule="exact"/>
        <w:jc w:val="center"/>
        <w:rPr>
          <w:rFonts w:ascii="Times New Roman" w:hAnsi="Times New Roman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D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地块“三旧”改造方案</w:t>
      </w:r>
    </w:p>
    <w:p w14:paraId="04D9FBE3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</w:rPr>
        <w:t>根据中山市城市更新（“三旧”改造）专项规划和单元规划，横栏镇政府拟对位于古神公路（中山市西环高速古镇南出口）东侧的中山市横栏镇三沙股份合作经济联合社（下称“三沙股联社”）的旧厂房用地进行改造，由政府整备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改造</w:t>
      </w:r>
      <w:r>
        <w:rPr>
          <w:rFonts w:hint="eastAsia" w:ascii="Times New Roman" w:hAnsi="Times New Roman" w:eastAsia="仿宋_GB2312" w:cs="仿宋_GB2312"/>
          <w:spacing w:val="-6"/>
          <w:sz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采取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全面改造</w:t>
      </w:r>
      <w:r>
        <w:rPr>
          <w:rFonts w:hint="eastAsia" w:ascii="Times New Roman" w:hAnsi="Times New Roman" w:eastAsia="仿宋_GB2312" w:cs="仿宋_GB2312"/>
          <w:spacing w:val="-6"/>
          <w:sz w:val="32"/>
          <w:lang w:val="en-US" w:eastAsia="zh-CN"/>
        </w:rPr>
        <w:t>的改造方式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。改造方案如下：</w:t>
      </w:r>
    </w:p>
    <w:p w14:paraId="25942A80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一、改造地块基本情况</w:t>
      </w:r>
    </w:p>
    <w:p w14:paraId="0FA56739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（一）总体情况。</w:t>
      </w:r>
    </w:p>
    <w:p w14:paraId="23379197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改造项目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位于横栏镇三沙工业园，北至古镇镇沙古公路，南至长安北路，东至贴边村利华路，西至古神公路（中山市西环高速古镇南出口），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改造范围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用地面积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。</w:t>
      </w:r>
    </w:p>
    <w:p w14:paraId="2324A59C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（二）标图入库情况。</w:t>
      </w:r>
    </w:p>
    <w:p w14:paraId="5A006AB6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改造地块已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于201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年6月纳入“三旧”标图入库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，图斑编号为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442000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29601、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442000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29602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11.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5091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的改造范围用地均纳入图斑。</w:t>
      </w:r>
    </w:p>
    <w:p w14:paraId="325F661C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（三）权属情况。</w:t>
      </w:r>
    </w:p>
    <w:p w14:paraId="721070C2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改造范围内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全部属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集体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土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地，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土地未办理集体土地所有权证及土地使用权证，拟确权登记在三沙股联社名下。</w:t>
      </w:r>
    </w:p>
    <w:p w14:paraId="363CC993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（四）土地现状情况。</w:t>
      </w:r>
    </w:p>
    <w:p w14:paraId="5C990E61"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在“二调”及最新土地利用现状均为建设用地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改造范围不涉及整体利用的边角地、夹心地、插花地（下称“三地”）、其他用地、征地留用地、与原“三旧”用地置换的“三旧”用地或其他存量建设用地、使用原“三旧”用地复垦产生的规模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或指标的非建设用地。</w:t>
      </w:r>
    </w:p>
    <w:p w14:paraId="3F2ADC78">
      <w:pPr>
        <w:spacing w:line="574" w:lineRule="exact"/>
        <w:ind w:firstLine="616" w:firstLineChars="200"/>
        <w:rPr>
          <w:rFonts w:hint="eastAsia" w:ascii="Times New Roman" w:hAnsi="Times New Roman" w:eastAsia="仿宋_GB2312" w:cs="楷体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改造主体地块原有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栋建筑物，为三沙股联社自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2003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月开始使用。未办理规划报建等手续，原有建筑面积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82040.78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平方米，容积率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0.71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，主要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用途是工业。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该地块目前已拆除建筑面积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82040.78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平方米，改造前年产值为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5179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万元（折合约30万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/亩），年税收为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万元（折合约1.2万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/亩）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196A7A5C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改造地块共涉及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亩）未完善建设用地手续，正在办理违法用地处罚手续。</w:t>
      </w:r>
    </w:p>
    <w:p w14:paraId="15552BEE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不涉及抵押、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闲置、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历史文化资源要素、土壤环境潜在监管地块等情况。</w:t>
      </w:r>
    </w:p>
    <w:p w14:paraId="5F9FECDD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（五）规划情况。</w:t>
      </w:r>
    </w:p>
    <w:p w14:paraId="6CDAFFFB">
      <w:pPr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</w:rPr>
        <w:t>改造地块符合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</w:rPr>
        <w:t>国土空间总体规划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lang w:val="en-US" w:eastAsia="zh-CN"/>
        </w:rPr>
        <w:t>单元规划，已纳入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</w:rPr>
        <w:t>《中山市城市更新（“三旧”改造）专项规划（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</w:rPr>
        <w:t>2020-2035年）》。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lang w:val="en-US" w:eastAsia="zh-CN"/>
        </w:rPr>
        <w:t>其中，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在《中山市国土空间总体规划（2021-2035）》中，均属城乡建设用地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</w:rPr>
        <w:t>在《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</w:rPr>
        <w:t>中山市西部产业园横栏三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沙片区A单元规划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》（中府函〔2024〕18号）中，一类工业用地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10.1581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101580.60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152.37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亩），规划容积率2.0-3.5，建筑密度35%-60%，绿地率10%-15%，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highlight w:val="none"/>
        </w:rPr>
        <w:t>生产性建筑高度≤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highlight w:val="none"/>
        </w:rPr>
        <w:t>0米，配套设施建筑高度≤100米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；城市道路用地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1.3507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13507.15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20.60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以实际审批为准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065967C6">
      <w:pPr>
        <w:spacing w:line="574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地块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位于</w:t>
      </w:r>
      <w:r>
        <w:rPr>
          <w:rFonts w:ascii="Times New Roman" w:hAnsi="Times New Roman" w:eastAsia="仿宋_GB2312"/>
          <w:spacing w:val="-6"/>
          <w:sz w:val="32"/>
          <w:szCs w:val="32"/>
        </w:rPr>
        <w:t>“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三区三线</w:t>
      </w:r>
      <w:r>
        <w:rPr>
          <w:rFonts w:ascii="Times New Roman" w:hAnsi="Times New Roman" w:eastAsia="仿宋_GB2312"/>
          <w:spacing w:val="-6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城镇开发边界内，符合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在编的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工业用地保护线管控要求，且不涉及永久基本农田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生态保护红线、森林资源等管控要求。</w:t>
      </w:r>
    </w:p>
    <w:p w14:paraId="064C0790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二、改造意愿和补偿安置情况</w:t>
      </w:r>
    </w:p>
    <w:p w14:paraId="4ECEFE1A">
      <w:pPr>
        <w:spacing w:line="574" w:lineRule="exact"/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（一）改造意愿情况。</w:t>
      </w:r>
    </w:p>
    <w:p w14:paraId="70C6A7AD">
      <w:pPr>
        <w:spacing w:line="57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改造地块涉及三沙股联社1个权利主体，横栏镇政府已按照法律法规及我市城市更新（“三旧”改造）政策规定，就改造范围、土地现状、改造主体及拟改造情况等事项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征询</w:t>
      </w:r>
      <w:r>
        <w:rPr>
          <w:rFonts w:hint="eastAsia" w:ascii="Times New Roman" w:hAnsi="Times New Roman" w:eastAsia="仿宋_GB2312"/>
          <w:sz w:val="32"/>
          <w:szCs w:val="32"/>
        </w:rPr>
        <w:t>三沙股联社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组成成员的意见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于2025年1月</w:t>
      </w:r>
      <w:r>
        <w:rPr>
          <w:rFonts w:hint="eastAsia" w:ascii="Times New Roman" w:hAnsi="Times New Roman" w:eastAsia="仿宋_GB2312"/>
          <w:sz w:val="32"/>
          <w:szCs w:val="32"/>
        </w:rPr>
        <w:t>经三沙股联社股东代表会议三分之二以上股东代表表决，同意将涉及土地、房屋纳入改造范围，申请办理改造地块集体土地完善转用手续，集体建设用地转为国有建设用地手续。</w:t>
      </w:r>
    </w:p>
    <w:p w14:paraId="4F918231">
      <w:pPr>
        <w:spacing w:line="574" w:lineRule="exact"/>
        <w:ind w:firstLine="616" w:firstLineChars="200"/>
        <w:rPr>
          <w:rFonts w:hint="eastAsia" w:ascii="Times New Roman" w:hAnsi="Times New Roman" w:eastAsia="楷体" w:cs="楷体"/>
          <w:spacing w:val="-6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（二）补偿安置情况。</w:t>
      </w:r>
    </w:p>
    <w:p w14:paraId="6E01D3D7"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三沙股联社申请将集体建设用地转为国有建设用地，拟落实征地补偿、安置补助、留用地安置、社会保障安置等补偿费，不涉及青苗及地上附着物补偿。改造地块经办理集体建设用地转为国有建设用地手续后，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交由政府整备改造，具体以政府与三沙股联社签订的协议为准。</w:t>
      </w:r>
    </w:p>
    <w:p w14:paraId="04086E69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（三）开展社会稳定风险评估情况。</w:t>
      </w:r>
    </w:p>
    <w:p w14:paraId="31BA01E0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改造项目社会稳定风险评估的责任主体为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</w:rPr>
        <w:t>横栏镇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政府</w:t>
      </w: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</w:rPr>
        <w:t>横栏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u w:val="none"/>
        </w:rPr>
        <w:t>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val="en-US" w:eastAsia="zh-CN"/>
        </w:rPr>
        <w:t>政府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  <w:t>已按规定开展社会稳定风险评估，根据社会稳定风险评估结果，本改造项目风险等级为低风险。</w:t>
      </w:r>
    </w:p>
    <w:p w14:paraId="00245946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三、改造主体及拟改造情况</w:t>
      </w:r>
    </w:p>
    <w:p w14:paraId="78B0E1D1">
      <w:pPr>
        <w:spacing w:line="574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根据有关规划要求，改造项目严格按照国土空间总体规划、单元规划管控要求实施建设。该改造项目属</w:t>
      </w:r>
      <w:r>
        <w:rPr>
          <w:rFonts w:ascii="Times New Roman" w:hAnsi="Times New Roman" w:eastAsia="仿宋_GB2312"/>
          <w:spacing w:val="-6"/>
          <w:sz w:val="32"/>
          <w:szCs w:val="32"/>
        </w:rPr>
        <w:t>“工改工”宗地项目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pacing w:val="-6"/>
          <w:sz w:val="32"/>
          <w:szCs w:val="32"/>
        </w:rPr>
        <w:t>拟采取政府整备改造方式，由</w:t>
      </w:r>
      <w:r>
        <w:rPr>
          <w:rFonts w:hint="eastAsia" w:ascii="Times New Roman" w:hAnsi="Times New Roman" w:eastAsia="仿宋_GB2312" w:cs="仿宋_GB2312"/>
          <w:sz w:val="32"/>
          <w:szCs w:val="32"/>
        </w:rPr>
        <w:t>横栏镇政府</w:t>
      </w:r>
      <w:r>
        <w:rPr>
          <w:rFonts w:ascii="Times New Roman" w:hAnsi="Times New Roman" w:eastAsia="仿宋_GB2312"/>
          <w:spacing w:val="-6"/>
          <w:sz w:val="32"/>
          <w:szCs w:val="32"/>
        </w:rPr>
        <w:t>通过公开出让确定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的</w:t>
      </w:r>
      <w:r>
        <w:rPr>
          <w:rFonts w:ascii="Times New Roman" w:hAnsi="Times New Roman" w:eastAsia="仿宋_GB2312"/>
          <w:spacing w:val="-6"/>
          <w:sz w:val="32"/>
          <w:szCs w:val="32"/>
        </w:rPr>
        <w:t>改造主体实施全面改造。</w:t>
      </w:r>
    </w:p>
    <w:p w14:paraId="2556A85F">
      <w:pPr>
        <w:ind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公开出让的一类工业用地改造后将用于工业用途，拟引入符合国家《产业结构调整指导目录》《中山市“三线一单”生态环境分区管控方案》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《中山市涉挥发性有机物项目环保管理规定》的产业。在符合单元规划的基础上，容积率不低于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2.0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，新建计容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建筑面积不小于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230176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平方米，不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保留原有建筑。</w:t>
      </w:r>
    </w:p>
    <w:p w14:paraId="158ED985">
      <w:pPr>
        <w:ind w:firstLine="616" w:firstLineChars="200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改造后固定资产投资强度不低于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91200万元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600万元/亩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，年产值不低于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182400万元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1200万元/亩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，年税收不低于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9120万元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60万元/亩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以项目招商准入审批为准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335FDBA5">
      <w:pPr>
        <w:spacing w:line="574" w:lineRule="exact"/>
        <w:ind w:firstLine="616" w:firstLineChars="20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四、需办理的用地手续</w:t>
      </w:r>
    </w:p>
    <w:p w14:paraId="3734326F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（一）完善用地手续。</w:t>
      </w:r>
    </w:p>
    <w:p w14:paraId="47219E31">
      <w:pPr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根据《广东省旧城镇旧厂房旧村庄改造管理办法》（粤府令第</w:t>
      </w:r>
      <w:r>
        <w:rPr>
          <w:rFonts w:ascii="Times New Roman" w:hAnsi="Times New Roman" w:eastAsia="仿宋_GB2312"/>
          <w:spacing w:val="-6"/>
          <w:sz w:val="32"/>
          <w:szCs w:val="32"/>
        </w:rPr>
        <w:t>279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号）《广东省</w:t>
      </w:r>
      <w:r>
        <w:rPr>
          <w:rFonts w:ascii="Times New Roman" w:hAnsi="Times New Roman" w:eastAsia="仿宋_GB2312"/>
          <w:spacing w:val="-6"/>
          <w:sz w:val="32"/>
          <w:szCs w:val="32"/>
        </w:rPr>
        <w:t>“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三旧</w:t>
      </w:r>
      <w:r>
        <w:rPr>
          <w:rFonts w:ascii="Times New Roman" w:hAnsi="Times New Roman" w:eastAsia="仿宋_GB2312"/>
          <w:spacing w:val="-6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改造标图入库和用地报批工作指引（</w:t>
      </w:r>
      <w:r>
        <w:rPr>
          <w:rFonts w:ascii="Times New Roman" w:hAnsi="Times New Roman" w:eastAsia="仿宋_GB2312"/>
          <w:spacing w:val="-6"/>
          <w:sz w:val="32"/>
          <w:szCs w:val="32"/>
        </w:rPr>
        <w:t>2021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年版）》（粤自然资函〔</w:t>
      </w:r>
      <w:r>
        <w:rPr>
          <w:rFonts w:ascii="Times New Roman" w:hAnsi="Times New Roman" w:eastAsia="仿宋_GB2312"/>
          <w:spacing w:val="-6"/>
          <w:sz w:val="32"/>
          <w:szCs w:val="32"/>
        </w:rPr>
        <w:t>2021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〕</w:t>
      </w:r>
      <w:r>
        <w:rPr>
          <w:rFonts w:ascii="Times New Roman" w:hAnsi="Times New Roman" w:eastAsia="仿宋_GB2312"/>
          <w:spacing w:val="-6"/>
          <w:sz w:val="32"/>
          <w:szCs w:val="32"/>
        </w:rPr>
        <w:t>935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号）相关规定，改造地块符合办理集体土地完善转用、集体建设用地转为国有建设用地手续的要求。</w:t>
      </w:r>
    </w:p>
    <w:p w14:paraId="7BB622F2">
      <w:pPr>
        <w:spacing w:line="574" w:lineRule="exact"/>
        <w:ind w:firstLine="616" w:firstLineChars="200"/>
        <w:rPr>
          <w:rFonts w:hint="eastAsia"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改造项目范围内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11.5088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115087.75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平方米，折合17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2.63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亩）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需办理集体土地完善转用手续。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上述用地完善用地手续后，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由</w:t>
      </w:r>
      <w:r>
        <w:rPr>
          <w:rFonts w:hint="eastAsia" w:ascii="Times New Roman" w:hAnsi="Times New Roman" w:eastAsia="仿宋_GB2312"/>
          <w:sz w:val="32"/>
          <w:szCs w:val="32"/>
        </w:rPr>
        <w:t>三沙股联社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申请集体建设用地转为国有建设用地（具体以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实际审批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为准）。</w:t>
      </w:r>
    </w:p>
    <w:p w14:paraId="51B9187D">
      <w:pPr>
        <w:spacing w:line="574" w:lineRule="exact"/>
        <w:ind w:firstLine="616" w:firstLineChars="200"/>
        <w:rPr>
          <w:rFonts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（二）土地供应。</w:t>
      </w:r>
    </w:p>
    <w:p w14:paraId="1F3EDB0A">
      <w:pPr>
        <w:spacing w:line="58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根据《广东省旧城镇旧厂房旧村庄改造管理办法》（粤府令第</w:t>
      </w:r>
      <w:r>
        <w:rPr>
          <w:rFonts w:ascii="Times New Roman" w:hAnsi="Times New Roman" w:eastAsia="仿宋_GB2312"/>
          <w:spacing w:val="-6"/>
          <w:sz w:val="32"/>
          <w:szCs w:val="32"/>
        </w:rPr>
        <w:t>279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号）相关规定，改造地块符合公开出让的条件。</w:t>
      </w:r>
    </w:p>
    <w:p w14:paraId="561AFC92">
      <w:pPr>
        <w:ind w:firstLine="616" w:firstLineChars="200"/>
        <w:rPr>
          <w:rFonts w:hint="eastAsia" w:ascii="Times New Roman" w:hAnsi="Times New Roman" w:eastAsia="仿宋_GB2312"/>
          <w:spacing w:val="-6"/>
          <w:sz w:val="32"/>
          <w:szCs w:val="32"/>
          <w:highlight w:val="red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上述用地手续办结后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依</w:t>
      </w:r>
      <w:r>
        <w:rPr>
          <w:rFonts w:hint="eastAsia" w:ascii="Times New Roman" w:hAnsi="Times New Roman" w:eastAsia="仿宋_GB2312"/>
          <w:sz w:val="32"/>
          <w:szCs w:val="32"/>
        </w:rPr>
        <w:t>据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中山市西部产业园横栏三沙片区A单元规划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》（中府函〔2024〕18号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10.1581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101580.60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152.37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规划一类工业用地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拟按容积率2.0-3.5分为若干个地块采用公开出让方式供地给改造主体，具体以出让方案审批为准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城市道路用地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1.3507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13507.15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平方米，折合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20.60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highlight w:val="none"/>
        </w:rPr>
        <w:t>亩）采用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</w:rPr>
        <w:t>划拨方式供地给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横栏</w:t>
      </w:r>
      <w:r>
        <w:rPr>
          <w:rFonts w:ascii="Times New Roman" w:hAnsi="Times New Roman" w:eastAsia="仿宋_GB2312"/>
          <w:spacing w:val="-6"/>
          <w:sz w:val="32"/>
          <w:szCs w:val="32"/>
        </w:rPr>
        <w:t>镇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城市更新和建设服务中心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val="en-US" w:eastAsia="zh-CN"/>
        </w:rPr>
        <w:t>具体以实际审批为准。</w:t>
      </w:r>
    </w:p>
    <w:p w14:paraId="54E23BF8">
      <w:pPr>
        <w:pStyle w:val="6"/>
        <w:numPr>
          <w:ilvl w:val="0"/>
          <w:numId w:val="1"/>
        </w:numPr>
        <w:spacing w:line="574" w:lineRule="exact"/>
        <w:ind w:firstLineChars="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资金筹措</w:t>
      </w:r>
    </w:p>
    <w:p w14:paraId="54B54177"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规划一类工业用地由公开出让确认的</w:t>
      </w:r>
      <w:r>
        <w:rPr>
          <w:rFonts w:hint="default" w:ascii="Times New Roman" w:hAnsi="Times New Roman" w:eastAsia="仿宋_GB2312"/>
          <w:spacing w:val="-6"/>
          <w:sz w:val="32"/>
          <w:szCs w:val="32"/>
          <w:lang w:val="en-US"/>
        </w:rPr>
        <w:t>改造主体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投入资金进行开发建设；规划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公园绿地、防护绿地、道路用地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由横栏镇政府投入资金开发建设</w:t>
      </w:r>
      <w:bookmarkStart w:id="0" w:name="OLE_LINK18"/>
      <w:bookmarkStart w:id="1" w:name="OLE_LINK17"/>
      <w:r>
        <w:rPr>
          <w:rFonts w:hint="eastAsia" w:ascii="Times New Roman" w:hAnsi="Times New Roman" w:eastAsia="仿宋_GB2312"/>
          <w:spacing w:val="-6"/>
          <w:sz w:val="32"/>
          <w:szCs w:val="32"/>
        </w:rPr>
        <w:t>。</w:t>
      </w:r>
      <w:bookmarkEnd w:id="0"/>
      <w:bookmarkEnd w:id="1"/>
    </w:p>
    <w:p w14:paraId="47A8441A">
      <w:pPr>
        <w:pStyle w:val="6"/>
        <w:numPr>
          <w:ilvl w:val="0"/>
          <w:numId w:val="1"/>
        </w:numPr>
        <w:spacing w:line="574" w:lineRule="exact"/>
        <w:ind w:firstLineChars="0"/>
        <w:rPr>
          <w:rFonts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开发时序</w:t>
      </w:r>
    </w:p>
    <w:p w14:paraId="6C26C6E8">
      <w:pPr>
        <w:spacing w:line="574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公开出让的</w:t>
      </w:r>
      <w:r>
        <w:rPr>
          <w:rFonts w:ascii="Times New Roman" w:hAnsi="Times New Roman" w:eastAsia="仿宋_GB2312"/>
          <w:spacing w:val="-6"/>
          <w:sz w:val="32"/>
          <w:szCs w:val="32"/>
        </w:rPr>
        <w:t>规划一类工业用地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具体开发时间、建设内容以签订的土地使用权出让合同为准</w:t>
      </w:r>
      <w:r>
        <w:rPr>
          <w:rFonts w:ascii="Times New Roman" w:hAnsi="Times New Roman" w:eastAsia="仿宋_GB2312"/>
          <w:spacing w:val="-6"/>
          <w:sz w:val="32"/>
          <w:szCs w:val="32"/>
        </w:rPr>
        <w:t>。</w:t>
      </w:r>
    </w:p>
    <w:p w14:paraId="1FB25E02">
      <w:pPr>
        <w:spacing w:line="574" w:lineRule="exact"/>
        <w:ind w:firstLine="616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七、实施监管</w:t>
      </w:r>
    </w:p>
    <w:p w14:paraId="783913FC">
      <w:pPr>
        <w:spacing w:line="574" w:lineRule="exact"/>
        <w:ind w:firstLine="616" w:firstLineChars="200"/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按公开出让有关要求执行。</w:t>
      </w:r>
      <w:r>
        <w:rPr>
          <w:rFonts w:hint="eastAsia" w:ascii="Times New Roman" w:hAnsi="Times New Roman" w:cs="宋体"/>
          <w:sz w:val="24"/>
        </w:rPr>
        <w:t xml:space="preserve"> </w:t>
      </w:r>
    </w:p>
    <w:p w14:paraId="61F9C339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87634"/>
    <w:multiLevelType w:val="multilevel"/>
    <w:tmpl w:val="08387634"/>
    <w:lvl w:ilvl="0" w:tentative="0">
      <w:start w:val="5"/>
      <w:numFmt w:val="japaneseCounting"/>
      <w:lvlText w:val="%1、"/>
      <w:lvlJc w:val="left"/>
      <w:pPr>
        <w:ind w:left="133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73EB"/>
    <w:rsid w:val="0C5C0564"/>
    <w:rsid w:val="0F5E72F5"/>
    <w:rsid w:val="0FCC3321"/>
    <w:rsid w:val="1103592E"/>
    <w:rsid w:val="265673EB"/>
    <w:rsid w:val="4227052B"/>
    <w:rsid w:val="4F9C468B"/>
    <w:rsid w:val="70B3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2024-12-10T01:02:00Z</dcterms:created>
  <dc:creator>梁向垚</dc:creator>
  <cp:lastModifiedBy>Administrator</cp:lastModifiedBy>
  <dcterms:modified xsi:type="dcterms:W3CDTF">2025-03-11T07:51:36Z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5245DE73FA0E42ED89748BF42D72AD4D_13</vt:lpwstr>
  </property>
</Properties>
</file>