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工业领域电力需求侧管理</w:t>
      </w:r>
      <w:r>
        <w:rPr>
          <w:rFonts w:hint="default" w:ascii="宋体" w:hAnsi="宋体"/>
          <w:b/>
          <w:sz w:val="44"/>
          <w:szCs w:val="44"/>
        </w:rPr>
        <w:t>参考</w:t>
      </w:r>
      <w:r>
        <w:rPr>
          <w:rFonts w:hint="eastAsia" w:ascii="宋体" w:hAnsi="宋体"/>
          <w:b/>
          <w:sz w:val="44"/>
          <w:szCs w:val="44"/>
        </w:rPr>
        <w:t>产品（技术）</w:t>
      </w:r>
    </w:p>
    <w:p>
      <w:pPr>
        <w:widowControl/>
        <w:spacing w:line="30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申报表</w:t>
      </w:r>
    </w:p>
    <w:tbl>
      <w:tblPr>
        <w:tblStyle w:val="3"/>
        <w:tblW w:w="10345" w:type="dxa"/>
        <w:jc w:val="center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96"/>
        <w:gridCol w:w="464"/>
        <w:gridCol w:w="413"/>
        <w:gridCol w:w="157"/>
        <w:gridCol w:w="645"/>
        <w:gridCol w:w="237"/>
        <w:gridCol w:w="1263"/>
        <w:gridCol w:w="45"/>
        <w:gridCol w:w="404"/>
        <w:gridCol w:w="31"/>
        <w:gridCol w:w="1357"/>
        <w:gridCol w:w="308"/>
        <w:gridCol w:w="542"/>
        <w:gridCol w:w="148"/>
        <w:gridCol w:w="76"/>
        <w:gridCol w:w="347"/>
        <w:gridCol w:w="76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345" w:type="dxa"/>
            <w:gridSpan w:val="1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产品（技术）类别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能效电厂类</w:t>
            </w:r>
          </w:p>
        </w:tc>
        <w:tc>
          <w:tcPr>
            <w:tcW w:w="278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移峰填谷类</w:t>
            </w:r>
          </w:p>
        </w:tc>
        <w:tc>
          <w:tcPr>
            <w:tcW w:w="277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电力供需互动响应类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8" w:type="dxa"/>
            <w:gridSpan w:val="4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□绿色照明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□热泵技术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□建筑节能</w:t>
            </w:r>
          </w:p>
          <w:p>
            <w:pPr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变配电节电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□高效电加热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□热电冷联产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□余热余压利用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□电能质量治理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□空气压缩系统节能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□交流电动机调速运行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□空调改造及优化运行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□小功率用电设备节能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□电梯及起重设备电力回馈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□其他高效节电产品（技术）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2782" w:type="dxa"/>
            <w:gridSpan w:val="7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□电蓄冷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□电蓄热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□分布式能源利用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default" w:ascii="仿宋" w:hAnsi="仿宋" w:eastAsia="仿宋"/>
                <w:sz w:val="24"/>
              </w:rPr>
              <w:t>车联网智能充电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□用电负荷管理优化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□储能</w:t>
            </w:r>
            <w:r>
              <w:rPr>
                <w:rFonts w:hint="default" w:ascii="仿宋" w:hAnsi="仿宋" w:eastAsia="仿宋"/>
                <w:sz w:val="24"/>
              </w:rPr>
              <w:t>（电）</w:t>
            </w:r>
            <w:r>
              <w:rPr>
                <w:rFonts w:hint="eastAsia" w:ascii="仿宋" w:hAnsi="仿宋" w:eastAsia="仿宋"/>
                <w:sz w:val="24"/>
              </w:rPr>
              <w:t>技术应用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</w:t>
            </w:r>
            <w:r>
              <w:rPr>
                <w:rFonts w:hint="default" w:ascii="仿宋" w:hAnsi="仿宋" w:eastAsia="仿宋"/>
                <w:sz w:val="24"/>
                <w:u w:val="single"/>
              </w:rPr>
              <w:t xml:space="preserve">            </w:t>
            </w:r>
          </w:p>
        </w:tc>
        <w:tc>
          <w:tcPr>
            <w:tcW w:w="2778" w:type="dxa"/>
            <w:gridSpan w:val="6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□智能微电网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□需求响应终端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□电能监测终端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□电力需求侧管理系统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</w:t>
            </w:r>
            <w:r>
              <w:rPr>
                <w:rFonts w:hint="default" w:ascii="仿宋" w:hAnsi="仿宋" w:eastAsia="仿宋"/>
                <w:sz w:val="24"/>
                <w:u w:val="single"/>
              </w:rPr>
              <w:t xml:space="preserve">              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□电能替代</w:t>
            </w:r>
          </w:p>
          <w:p>
            <w:pPr>
              <w:jc w:val="left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default" w:ascii="仿宋" w:hAnsi="仿宋" w:eastAsia="仿宋"/>
                <w:sz w:val="24"/>
              </w:rPr>
              <w:t>多能互补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default" w:ascii="仿宋" w:hAnsi="仿宋" w:eastAsia="仿宋"/>
                <w:sz w:val="24"/>
              </w:rPr>
              <w:t>能源互联网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□热电冷联产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default" w:ascii="仿宋" w:hAnsi="仿宋" w:eastAsia="仿宋"/>
                <w:sz w:val="24"/>
              </w:rPr>
              <w:t>低温余热（地热）发电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□分散式电采暖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□蓄热式电采暖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□智能负荷开关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□配电网升级改造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□重要设备故障实时监测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□电能服务整体解决方案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default" w:ascii="仿宋" w:hAnsi="仿宋" w:eastAsia="仿宋"/>
                <w:sz w:val="24"/>
              </w:rPr>
              <w:t>售电业务技术支持系统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□配供电与负荷平衡信息交互系统及其终端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345" w:type="dxa"/>
            <w:gridSpan w:val="1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产品（技术）信息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8594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敞开式立体卷铁心干式变压器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技术原理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产品功能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工艺流程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技术参数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及指标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适用条件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依据标准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包括标准名称、标准号，并按照国家标准、行业标准、企业标准排序。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应用行业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及领域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应用效果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及测试方法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近三年销售量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近三年销售额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成果鉴定</w:t>
            </w:r>
          </w:p>
        </w:tc>
        <w:tc>
          <w:tcPr>
            <w:tcW w:w="8594" w:type="dxa"/>
            <w:gridSpan w:val="1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鉴定组织单位：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鉴定结论：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□国际领先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□国际先进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□国内领先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□国内先进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□通过鉴定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（检测报告、技术鉴定证书、科技成果鉴定证书等附后）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获得专利情况</w:t>
            </w:r>
          </w:p>
        </w:tc>
        <w:tc>
          <w:tcPr>
            <w:tcW w:w="8594" w:type="dxa"/>
            <w:gridSpan w:val="1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获国内发明专利（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）项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专利号：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获国内实用新型专利（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）项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专利号：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     </w:t>
            </w:r>
          </w:p>
          <w:p>
            <w:p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获国内外观设计专利（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）项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专利号：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获国外专利（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）项</w:t>
            </w:r>
            <w:r>
              <w:rPr>
                <w:rFonts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专利号：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与同类产品（技术）比较</w:t>
            </w:r>
          </w:p>
        </w:tc>
        <w:tc>
          <w:tcPr>
            <w:tcW w:w="8594" w:type="dxa"/>
            <w:gridSpan w:val="1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345" w:type="dxa"/>
            <w:gridSpan w:val="1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default" w:ascii="黑体" w:hAnsi="黑体" w:eastAsia="黑体" w:cs="黑体"/>
                <w:bCs/>
                <w:sz w:val="32"/>
                <w:szCs w:val="32"/>
              </w:rPr>
              <w:t>工业领域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应用案例（不少于两份）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项目规模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建设或改造内容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使用设备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设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期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项目投资额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投资回收期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取得效果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345" w:type="dxa"/>
            <w:gridSpan w:val="1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附应用单位评价报告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0345" w:type="dxa"/>
            <w:gridSpan w:val="1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真实性承诺声明：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以上所有申报材料内容属实。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申报单位（公章）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日期：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345" w:type="dxa"/>
            <w:gridSpan w:val="19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单</w:t>
            </w:r>
            <w:r>
              <w:rPr>
                <w:rFonts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位</w:t>
            </w:r>
            <w:r>
              <w:rPr>
                <w:rFonts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信</w:t>
            </w:r>
            <w:r>
              <w:rPr>
                <w:rFonts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总资产（万元）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gridSpan w:val="6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上年营业收入（万元）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上年度研发费用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7" w:type="dxa"/>
            <w:gridSpan w:val="6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占主营业务收入比重（</w:t>
            </w:r>
            <w:r>
              <w:rPr>
                <w:rFonts w:ascii="仿宋" w:hAnsi="仿宋" w:eastAsia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研发人数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gridSpan w:val="6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占职工总数比例（</w:t>
            </w:r>
            <w:r>
              <w:rPr>
                <w:rFonts w:ascii="仿宋" w:hAnsi="仿宋" w:eastAsia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知识产权情况</w:t>
            </w:r>
          </w:p>
        </w:tc>
        <w:tc>
          <w:tcPr>
            <w:tcW w:w="8130" w:type="dxa"/>
            <w:gridSpan w:val="16"/>
            <w:vAlign w:val="center"/>
          </w:tcPr>
          <w:p>
            <w:pPr>
              <w:spacing w:before="48" w:beforeLines="0" w:after="24" w:afterLine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（相关证书附后）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已获资质及奖项情况（省部级以上）</w:t>
            </w:r>
          </w:p>
        </w:tc>
        <w:tc>
          <w:tcPr>
            <w:tcW w:w="8130" w:type="dxa"/>
            <w:gridSpan w:val="16"/>
            <w:vAlign w:val="center"/>
          </w:tcPr>
          <w:p>
            <w:pPr>
              <w:spacing w:before="48" w:beforeLines="0" w:after="24" w:afterLine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（相关证书附后）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高新技术企业认定情况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企业近三年实施的工业领域电力需求侧</w:t>
            </w:r>
          </w:p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管理项目数量</w:t>
            </w:r>
          </w:p>
        </w:tc>
        <w:tc>
          <w:tcPr>
            <w:tcW w:w="3578" w:type="dxa"/>
            <w:gridSpan w:val="7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spacing w:before="48" w:beforeLines="0" w:after="24" w:afterLine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before="48" w:beforeLines="0" w:after="24" w:afterLine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20" w:lineRule="exact"/>
        <w:rPr>
          <w:sz w:val="36"/>
          <w:szCs w:val="36"/>
        </w:rPr>
      </w:pPr>
    </w:p>
    <w:p/>
    <w:p/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57E60"/>
    <w:rsid w:val="600A7226"/>
    <w:rsid w:val="72D57E60"/>
    <w:rsid w:val="74D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2021-08-18T07:22:00Z</dcterms:created>
  <dc:creator>林文侯</dc:creator>
  <cp:lastModifiedBy>林文侯</cp:lastModifiedBy>
  <dcterms:modified xsi:type="dcterms:W3CDTF">2021-08-24T09:36:46Z</dcterms:modified>
  <dc:title>工业领域电力需求侧管理参考产品（技术）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