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FEC8">
      <w:pPr>
        <w:spacing w:line="574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横栏镇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年</w:t>
      </w:r>
      <w:r>
        <w:rPr>
          <w:rFonts w:ascii="Times New Roman" w:hAnsi="Times New Roman" w:eastAsia="方正小标宋简体" w:cs="Times New Roman"/>
          <w:sz w:val="44"/>
          <w:szCs w:val="44"/>
        </w:rPr>
        <w:t>财政预算执行情况和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年</w:t>
      </w:r>
    </w:p>
    <w:p w14:paraId="6D5B9889">
      <w:pPr>
        <w:spacing w:line="57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财政预算（草案）报告</w:t>
      </w:r>
    </w:p>
    <w:p w14:paraId="662A5930">
      <w:pPr>
        <w:pStyle w:val="3"/>
        <w:keepNext w:val="0"/>
        <w:keepLines w:val="0"/>
        <w:spacing w:line="574" w:lineRule="exact"/>
        <w:rPr>
          <w:rFonts w:ascii="仿宋_GB2312" w:hAnsi="仿宋_GB2312" w:eastAsia="仿宋_GB2312" w:cs="仿宋_GB2312"/>
          <w:b w:val="0"/>
          <w:bCs w:val="0"/>
          <w:sz w:val="32"/>
        </w:rPr>
      </w:pPr>
    </w:p>
    <w:p w14:paraId="0035147E">
      <w:pPr>
        <w:snapToGrid w:val="0"/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各位代表：</w:t>
      </w:r>
    </w:p>
    <w:p w14:paraId="1F35E1B0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受横栏镇人民政府的委托，我向大会报告横栏镇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年</w:t>
      </w:r>
      <w:r>
        <w:rPr>
          <w:rFonts w:ascii="Times New Roman" w:hAnsi="Times New Roman" w:cs="Times New Roman"/>
          <w:kern w:val="0"/>
          <w:sz w:val="32"/>
          <w:szCs w:val="32"/>
        </w:rPr>
        <w:t>财政预算执行情况和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年</w:t>
      </w:r>
      <w:r>
        <w:rPr>
          <w:rFonts w:ascii="Times New Roman" w:hAnsi="Times New Roman" w:cs="Times New Roman"/>
          <w:kern w:val="0"/>
          <w:sz w:val="32"/>
          <w:szCs w:val="32"/>
        </w:rPr>
        <w:t>财政预算（草案），请予审议，并请各位列席同志提出意见</w:t>
      </w:r>
      <w:r>
        <w:rPr>
          <w:rFonts w:ascii="Times New Roman" w:hAnsi="Times New Roman" w:cs="Times New Roman"/>
          <w:sz w:val="32"/>
          <w:szCs w:val="32"/>
        </w:rPr>
        <w:t>。</w:t>
      </w:r>
    </w:p>
    <w:p w14:paraId="691BD7B6">
      <w:pPr>
        <w:snapToGrid w:val="0"/>
        <w:spacing w:line="560" w:lineRule="exact"/>
        <w:ind w:firstLine="600"/>
        <w:rPr>
          <w:rFonts w:ascii="Times New Roman" w:hAnsi="Times New Roman" w:cs="Times New Roman"/>
          <w:sz w:val="32"/>
          <w:szCs w:val="32"/>
        </w:rPr>
      </w:pPr>
    </w:p>
    <w:p w14:paraId="47B4F7CD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年</w:t>
      </w:r>
      <w:r>
        <w:rPr>
          <w:rFonts w:ascii="Times New Roman" w:hAnsi="Times New Roman" w:eastAsia="黑体" w:cs="Times New Roman"/>
          <w:bCs/>
          <w:sz w:val="32"/>
          <w:szCs w:val="32"/>
        </w:rPr>
        <w:t>财政预算执行情况</w:t>
      </w:r>
    </w:p>
    <w:p w14:paraId="447536CD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B6ACCD1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2024年是中华人民共和国成立75周年，是实现“十四五”规划目标任务的关键一年。今年以来，</w:t>
      </w:r>
      <w:r>
        <w:rPr>
          <w:rFonts w:ascii="Times New Roman" w:hAnsi="Times New Roman" w:cs="Times New Roman"/>
          <w:kern w:val="0"/>
          <w:sz w:val="32"/>
          <w:szCs w:val="32"/>
          <w:highlight w:val="none"/>
        </w:rPr>
        <w:t>在镇党委、政府的正确领导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</w:rPr>
        <w:t>和</w:t>
      </w:r>
      <w:r>
        <w:rPr>
          <w:rFonts w:ascii="Times New Roman" w:hAnsi="Times New Roman" w:cs="Times New Roman"/>
          <w:kern w:val="0"/>
          <w:sz w:val="32"/>
          <w:szCs w:val="32"/>
          <w:highlight w:val="none"/>
        </w:rPr>
        <w:t>镇人大及社会各界的监督支持下</w:t>
      </w:r>
      <w:r>
        <w:rPr>
          <w:rFonts w:ascii="Times New Roman" w:hAnsi="Times New Roman" w:cs="Times New Roman"/>
          <w:kern w:val="10"/>
          <w:sz w:val="32"/>
          <w:szCs w:val="32"/>
          <w:highlight w:val="none"/>
        </w:rPr>
        <w:t>，</w:t>
      </w:r>
      <w:r>
        <w:rPr>
          <w:rFonts w:hint="eastAsia" w:ascii="Times New Roman" w:hAnsi="Times New Roman" w:cs="Times New Roman"/>
          <w:kern w:val="10"/>
          <w:sz w:val="32"/>
          <w:szCs w:val="32"/>
          <w:highlight w:val="none"/>
        </w:rPr>
        <w:t>镇财政坚持稳中求进、以进促稳、先立后破，加快构建新发展格局，迎难而上、积极作为，适度加力、提质增效实施积极的财政政策，为经济社会高质量发展提供必要支撑；坚决落实党政机关习惯过紧日子要求，加强财政资金资源统筹，推动优化支出结构，强化重大战略任务和民生财力保障；支持防范化解重大风险，促进财政平稳运行，财政改革发展各项工作扎实推进，奋力推动</w:t>
      </w:r>
      <w:r>
        <w:rPr>
          <w:rFonts w:hint="eastAsia" w:ascii="Times New Roman" w:hAnsi="Times New Roman" w:cs="Times New Roman"/>
          <w:kern w:val="10"/>
          <w:sz w:val="32"/>
          <w:szCs w:val="32"/>
          <w:highlight w:val="none"/>
          <w:lang w:val="en-US" w:eastAsia="zh-CN"/>
        </w:rPr>
        <w:t>横栏</w:t>
      </w:r>
      <w:r>
        <w:rPr>
          <w:rFonts w:hint="eastAsia" w:ascii="Times New Roman" w:hAnsi="Times New Roman" w:cs="Times New Roman"/>
          <w:kern w:val="10"/>
          <w:sz w:val="32"/>
          <w:szCs w:val="32"/>
          <w:highlight w:val="none"/>
        </w:rPr>
        <w:t>综合实力加快实现新跃升。</w:t>
      </w:r>
    </w:p>
    <w:p w14:paraId="5BC32B4A">
      <w:pPr>
        <w:pStyle w:val="3"/>
        <w:keepNext w:val="0"/>
        <w:keepLines w:val="0"/>
        <w:spacing w:line="560" w:lineRule="exact"/>
        <w:ind w:firstLine="640" w:firstLineChars="200"/>
        <w:rPr>
          <w:rFonts w:ascii="Times New Roman" w:hAnsi="Times New Roman" w:cs="Times New Roman"/>
          <w:b w:val="0"/>
          <w:bCs w:val="0"/>
          <w:sz w:val="32"/>
          <w:highlight w:val="none"/>
        </w:rPr>
      </w:pP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一、</w:t>
      </w:r>
      <w:r>
        <w:rPr>
          <w:rFonts w:hint="eastAsia" w:ascii="Times New Roman" w:hAnsi="Times New Roman" w:cs="Times New Roman"/>
          <w:b w:val="0"/>
          <w:bCs w:val="0"/>
          <w:sz w:val="32"/>
          <w:highlight w:val="none"/>
          <w:lang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b w:val="0"/>
          <w:bCs w:val="0"/>
          <w:sz w:val="32"/>
          <w:highlight w:val="none"/>
          <w:lang w:eastAsia="zh-CN"/>
        </w:rPr>
        <w:t>年</w:t>
      </w: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财政预算执行情况</w:t>
      </w:r>
    </w:p>
    <w:p w14:paraId="244C9B7E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（一）一般公共预算</w:t>
      </w:r>
    </w:p>
    <w:p w14:paraId="3097DDC7">
      <w:pPr>
        <w:pStyle w:val="3"/>
        <w:keepNext w:val="0"/>
        <w:keepLines w:val="0"/>
        <w:spacing w:line="560" w:lineRule="exact"/>
        <w:ind w:firstLine="640" w:firstLineChars="200"/>
        <w:rPr>
          <w:rFonts w:ascii="Times New Roman" w:hAnsi="Times New Roman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1.上级补助收入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94139.75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万元。其中税收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返还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32925.47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万元，非税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返还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43027.33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，一般性转移支付收入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9194.4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万元，专项转移支付收入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8992.55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0CDCCDA9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2</w:t>
      </w:r>
      <w:r>
        <w:rPr>
          <w:rFonts w:ascii="Times New Roman" w:hAnsi="Times New Roman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转贷地方政府债券收入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253.67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1D8C238D">
      <w:pPr>
        <w:spacing w:line="560" w:lineRule="exact"/>
        <w:ind w:firstLine="640" w:firstLineChars="200"/>
        <w:rPr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3.调入资金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1508.27 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3C18D016">
      <w:pPr>
        <w:pStyle w:val="3"/>
        <w:keepNext w:val="0"/>
        <w:keepLines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4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.一般公共预算支出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79580.14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257D9F55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5</w:t>
      </w:r>
      <w:r>
        <w:rPr>
          <w:rFonts w:ascii="Times New Roman" w:hAnsi="Times New Roman" w:cs="Times New Roman"/>
          <w:sz w:val="32"/>
          <w:szCs w:val="32"/>
          <w:highlight w:val="none"/>
        </w:rPr>
        <w:t>.上解上级支出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19367.19</w:t>
      </w:r>
      <w:r>
        <w:rPr>
          <w:rFonts w:ascii="Times New Roman" w:hAnsi="Times New Roman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其中体制上解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4001.7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万元元，债务类上解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1217.18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万元，专项上解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14148.31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040A70D8">
      <w:pPr>
        <w:pStyle w:val="3"/>
        <w:keepNext w:val="0"/>
        <w:keepLines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6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.一般公共预算结余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全镇上级补助收入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94139.75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，债务转贷收入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253.67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万元，调入资金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1508.27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 xml:space="preserve">万元，再加上年结余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4801.83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 xml:space="preserve"> 万元，合计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100703.52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万元；减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79580.14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上解上级支出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19367.19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，累计结转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1756.19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1E5F726B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7．镇本级“三公”经费情况。202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年我镇一般公共预算“三公”经费合计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186.95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万元。其中因公出国（境）费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8.56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万元，公务用车购置经费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63.33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万元，公务用车运行维护费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114.49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万元、公务接待费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0.57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66C35604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8.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我镇“三保”预算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36135.45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万元，实际已支出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35240.39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已完成年度“三保”任务。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其中“保基本民生”支出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6829.83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万元，“保工资”支出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27780.24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万元，“保运转”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630.32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 xml:space="preserve">万元。  </w:t>
      </w:r>
    </w:p>
    <w:p w14:paraId="7C513348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（二）政府性基金预算</w:t>
      </w:r>
    </w:p>
    <w:p w14:paraId="727610A0">
      <w:pPr>
        <w:pStyle w:val="3"/>
        <w:keepNext w:val="0"/>
        <w:keepLines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上级补助收入（政府性基金）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5644.41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万元，加债务转贷收入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13891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加上年结余6685.78万元，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减调出资金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401.66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万元，减政府性基金支出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19822.12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万元，减上解支出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2477.92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末累计结转结余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3519.49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3557472B">
      <w:pPr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 xml:space="preserve">  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年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财政主要工作</w:t>
      </w:r>
    </w:p>
    <w:p w14:paraId="2B7929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聚焦收入主业，多措并举做好组织收入工作。</w:t>
      </w:r>
    </w:p>
    <w:p w14:paraId="4444983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一是坚持把组织收入工作放在财政工作的首要位置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，大力提升税收共治效能，加强税收征管。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1-11月我镇全口径租赁税实现收入1亿元。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二是建立财经提振工作协调机制，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通过定期调度把握财政运行态势，统筹保障我镇重大项目、重点领域，明确各部门责任，形成齐抓共管、协同推进的新局面。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我镇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非税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收入3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4526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万元，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增幅244.6%，全市镇街排名第二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三是积极向上争取各项补助资金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2024年财政分局已向市财政局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均衡性转移支付资金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3394万元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，争取暂缓结算预拨税收返还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17025万元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和工改周转金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4800万元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2ABD024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）聚焦财政资源统筹，提升资金效益。</w:t>
      </w:r>
    </w:p>
    <w:p w14:paraId="72536B77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一是围绕“百千万工程”、乡村振兴战略、“工改”和农污治理等集中财力保障重点项目建设、重点领域支出。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年我镇已成功申请专项债券资金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13424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万元。项目包括中江高速中山横栏出入口立交化改造工程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1957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万元，横四线西段（横栏段）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4503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万元，裕祥工业片区基础设施建设项目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797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万元。在财力紧张的情况下，202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年我镇农林水支出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4516.48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二是坚持“三保”支出在财政支出中的优先地位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全年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民生支出达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48786.38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万元，占一般公共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财政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预算支出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比重达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61.3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教育方面，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投入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22287.18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万元用于增加公办中小学学位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加快中小学校园基础设施建设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/>
          <w:color w:val="auto"/>
          <w:sz w:val="32"/>
          <w:szCs w:val="32"/>
          <w:highlight w:val="none"/>
        </w:rPr>
        <w:t>推动教育事业均衡发展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医疗卫生建设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方面，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投入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7568.07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万元优化医疗卫生服务，</w:t>
      </w:r>
      <w:r>
        <w:rPr>
          <w:rFonts w:hint="eastAsia" w:ascii="仿宋_GB2312"/>
          <w:color w:val="auto"/>
          <w:sz w:val="32"/>
          <w:szCs w:val="32"/>
          <w:highlight w:val="none"/>
        </w:rPr>
        <w:t>重点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提升医疗保障水平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社会保障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方面，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投入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6161.81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万元提升社会保障能力和水平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公共安全和应急管理建设发展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投入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11139.71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万元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深化平安横栏建设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。</w:t>
      </w:r>
    </w:p>
    <w:p w14:paraId="6CB1817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（三）细化财政监管职能，强化为民理财担当。</w:t>
      </w:r>
    </w:p>
    <w:p w14:paraId="12D5D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一是全面推行预算绩效一体化改革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，开展绩效评价培训，已完成202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年预算项目绩效目标复核。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2023事后绩效自评复核及2023年事后绩效重点评价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二是出台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《横栏镇行政事业单位财务管理实施办法》和修订《横栏镇党政机关和事业单位差旅管理办法》，以规范强管理，厘清各岗位、环节职能和责任。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是规范农村集体经济组织财务行为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全面上线中山市农村集体“三资”和财务监管一体化平台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，全面提升农村集体“三资”的信息化管理水平，实现农村集体资产“底清账明”。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是开展地方财经纪律重点问题专项整治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加强会计信息质量和中介机构执业质量监督，通过完成2023年年度备案，对代理记账机构进行监督和引导。2024年5月我镇正式成立中山市代理记账行业协会横栏联络处，促进行业健康发展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19EDA9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(四)坚持“理财有为”，做好“钱如何生钱”的文章。</w:t>
      </w:r>
    </w:p>
    <w:p w14:paraId="404BF6B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一是村居发展再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聚焦，进一步提升集体经济效益。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指导各村（社区）充分盘活集体资产。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全镇各村集体纯收入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30229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万元，其中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横西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、贴边等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条村集体纯收入同比实现正增长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是大力支持镇属公司改革。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加快推进镇属企业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转型升级，统筹推动智慧停车等公有资源有偿使用项目开展，提升镇属企业的发展能力。</w:t>
      </w:r>
    </w:p>
    <w:p w14:paraId="7C0C3B38">
      <w:pPr>
        <w:pStyle w:val="3"/>
        <w:rPr>
          <w:highlight w:val="lightGray"/>
        </w:rPr>
      </w:pPr>
    </w:p>
    <w:p w14:paraId="0DF58403">
      <w:pPr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各位代表，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财政工作应对挑战，承压前行，成绩来之不易。但当前财政运行中还存在不少困难和问题：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</w:rPr>
        <w:t>一是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财政收支平衡压力大。今年以来，税收收入和土地出让收入未达预期，在“三保”支出、刚性支出需求不断增长的情况下，预算平衡压力大。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</w:rPr>
        <w:t>二是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零基预算改革有待进一步深化。预算编制精细度不够、全面实施项目预算管理对标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省市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要求还有一定差距、管财理财水平有待进一步加强，影响了财政资源统筹和可持续性。</w:t>
      </w:r>
    </w:p>
    <w:p w14:paraId="3CE7F381">
      <w:pPr>
        <w:pStyle w:val="3"/>
        <w:keepNext w:val="0"/>
        <w:keepLines w:val="0"/>
        <w:spacing w:line="560" w:lineRule="exact"/>
        <w:rPr>
          <w:highlight w:val="lightGray"/>
        </w:rPr>
      </w:pPr>
    </w:p>
    <w:p w14:paraId="0E5DB2D9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t>预算草案</w:t>
      </w:r>
    </w:p>
    <w:p w14:paraId="476FBA35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  <w:highlight w:val="lightGray"/>
        </w:rPr>
      </w:pPr>
    </w:p>
    <w:p w14:paraId="7B60DFBB">
      <w:pPr>
        <w:spacing w:line="560" w:lineRule="exact"/>
        <w:ind w:firstLine="640" w:firstLineChars="20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年</w:t>
      </w:r>
      <w:r>
        <w:rPr>
          <w:rFonts w:ascii="Times New Roman" w:hAnsi="Times New Roman" w:cs="Times New Roman"/>
          <w:sz w:val="32"/>
          <w:szCs w:val="32"/>
          <w:highlight w:val="none"/>
        </w:rPr>
        <w:t>我镇财政工作的指导思想是：坚持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以习近平新时代中国特色社会主义思想为指导，全面贯彻落实党的二十大精神，落实好各级经济工作会议和财政工作会议精神，找准“稳”和“进”的发力点，在“稳”的基础上“进”，在“立”的前提下“破”，积极的财政政策适度加力、提质增效，大力优化支出结构，兜牢基层“三保”底线，不断强化应对风险隐患能力，以更加务实高效的举措为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横栏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经济社会高质量发展贡献财政力量</w:t>
      </w:r>
      <w:r>
        <w:rPr>
          <w:rFonts w:ascii="Times New Roman" w:hAnsi="Times New Roman" w:cs="Times New Roman"/>
          <w:sz w:val="32"/>
          <w:szCs w:val="32"/>
          <w:highlight w:val="none"/>
        </w:rPr>
        <w:t>。</w:t>
      </w:r>
    </w:p>
    <w:p w14:paraId="04CC02FE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年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预算收支情况</w:t>
      </w:r>
    </w:p>
    <w:p w14:paraId="7A13518D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（一）一般公共预算</w:t>
      </w:r>
    </w:p>
    <w:p w14:paraId="5D3CD48F">
      <w:pPr>
        <w:pStyle w:val="3"/>
        <w:keepNext w:val="0"/>
        <w:keepLines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1.上级补助收入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47290.6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万元。其中税收返还收入22000万元，非税返还收入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11690.6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万元，一般性转移支付收入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13600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3CC5AA4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2.调入资金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61823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5BC95F7A">
      <w:pPr>
        <w:pStyle w:val="3"/>
        <w:keepNext w:val="0"/>
        <w:keepLines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92558.86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0D9E5D3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4.上解上级支出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17546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1534071D">
      <w:pPr>
        <w:pStyle w:val="3"/>
        <w:keepNext w:val="0"/>
        <w:keepLines w:val="0"/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5.一般公共预算结余。202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年全镇上级补助收入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47290.6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万元，调入资金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61823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万元，再加上年上级结余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1756.19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110869.79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万元；减一般公共预算支出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93290.28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万元，上解上级支出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17546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17546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7D55E175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6.202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年我镇“三保”预算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39048.1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万元，其中“保基本民生”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（本级支出）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4152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万元，“保工资”支出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34506.21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万元，“保运转”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389.89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万元。  </w:t>
      </w:r>
    </w:p>
    <w:p w14:paraId="1484C351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（二）政府性基金预算</w:t>
      </w:r>
    </w:p>
    <w:p w14:paraId="5785B264">
      <w:pPr>
        <w:pStyle w:val="3"/>
        <w:keepNext w:val="0"/>
        <w:keepLines w:val="0"/>
        <w:spacing w:line="560" w:lineRule="exact"/>
        <w:ind w:firstLine="64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上级补助收入（政府性基金）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65300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债务转贷收入1000万元，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再加上年上级结余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3519.49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69819.49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万元；减政府性基金支出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9299.49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万元，减上解支出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2800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万元，减调出资金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57720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年末累计结转结余0万元。</w:t>
      </w:r>
    </w:p>
    <w:p w14:paraId="70AF897B">
      <w:pPr>
        <w:pStyle w:val="3"/>
        <w:keepNext w:val="0"/>
        <w:keepLines w:val="0"/>
        <w:spacing w:line="560" w:lineRule="exact"/>
        <w:ind w:firstLine="620"/>
        <w:rPr>
          <w:rFonts w:ascii="Times New Roman" w:hAnsi="Times New Roman" w:cs="Times New Roman"/>
          <w:b w:val="0"/>
          <w:bCs w:val="0"/>
          <w:sz w:val="32"/>
          <w:highlight w:val="none"/>
        </w:rPr>
      </w:pP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二、</w:t>
      </w:r>
      <w:r>
        <w:rPr>
          <w:rFonts w:hint="eastAsia" w:ascii="Times New Roman" w:hAnsi="Times New Roman" w:cs="Times New Roman"/>
          <w:b w:val="0"/>
          <w:bCs w:val="0"/>
          <w:sz w:val="32"/>
          <w:highlight w:val="none"/>
          <w:lang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b w:val="0"/>
          <w:bCs w:val="0"/>
          <w:sz w:val="32"/>
          <w:highlight w:val="none"/>
          <w:lang w:eastAsia="zh-CN"/>
        </w:rPr>
        <w:t>年</w:t>
      </w: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财政工作思路</w:t>
      </w:r>
    </w:p>
    <w:p w14:paraId="18B6FA49">
      <w:pPr>
        <w:spacing w:line="560" w:lineRule="exact"/>
        <w:ind w:firstLine="62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千方百计增加可用财力，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全面保障发展</w:t>
      </w:r>
    </w:p>
    <w:p w14:paraId="5AA46A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lightGray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一是加强收入分析研判。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坚持“以收定支、总额控制”，围绕全年收入目标，做好收入组织计划，加强财政收入形势分析研判，狠抓土地出让收入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充分挖掘罚没资产潜能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盘活公建配套资产，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积极培植税收收入增长点，抓好非税收入组织管理。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预测202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年度我镇上级补助收入（返还性收入）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3.37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亿元。其中：税收分成收入约2.2亿元、非税收入约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1.17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往纵深推进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财经协调推进机制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的组建，积极构建财力保障机制，强化重点领域精准投入，统筹做好资金要素保障工作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三是精心谋划争取资金。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积极争取地方政府债券资金、政策性开发性金融工具，强化市场化融资方式解决重大项目资金需求的作用，撬动社会资本参与。加强与上级部门的沟通，争取更多上级专项资金支持。</w:t>
      </w:r>
    </w:p>
    <w:p w14:paraId="29F76FDB">
      <w:pPr>
        <w:pStyle w:val="3"/>
        <w:keepNext w:val="0"/>
        <w:keepLines w:val="0"/>
        <w:spacing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auto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highlight w:val="none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highlight w:val="none"/>
          <w:lang w:val="en-US" w:eastAsia="zh-CN"/>
        </w:rPr>
        <w:t>尽力而为增进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highlight w:val="none"/>
        </w:rPr>
        <w:t>增进民生福祉，共享发展成果</w:t>
      </w:r>
    </w:p>
    <w:p w14:paraId="42E32FDD">
      <w:pPr>
        <w:pStyle w:val="3"/>
        <w:keepNext w:val="0"/>
        <w:keepLines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坚持有保有压，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以政府过紧日子换老百姓过好日子，用心办好各项民生实事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，集中财力继续向民生领域倾斜，民生投入占一般公共预算支出比例超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64%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保障教育事业发展，安排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2.7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亿元提升教育教学质量。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提升基层医疗保障水平，安排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0.9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亿元健全公共卫生服务。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推动完善社会保障体系，安排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0.54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万元加强人才就业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及民生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保障。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四是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支持全面推进乡村振兴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、“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百千万工程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”、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绿美广东生态建设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，农业领域预计安排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1.4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亿元，其中安排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2808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万元用于农村人居环境整治。</w:t>
      </w:r>
    </w:p>
    <w:p w14:paraId="780E07B4">
      <w:pPr>
        <w:pStyle w:val="3"/>
        <w:keepNext w:val="0"/>
        <w:keepLines w:val="0"/>
        <w:spacing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highlight w:val="none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highlight w:val="none"/>
          <w:lang w:val="en-US" w:eastAsia="zh-CN"/>
        </w:rPr>
        <w:t>下大力气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highlight w:val="none"/>
        </w:rPr>
        <w:t>深化财政改革，提升管理效能</w:t>
      </w:r>
    </w:p>
    <w:p w14:paraId="73000E4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highlight w:val="none"/>
          <w:lang w:bidi="ar"/>
        </w:rPr>
        <w:t>结合新常态下财政工作需要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bidi="ar"/>
        </w:rPr>
        <w:t>，进一步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规范政府收支行为，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全面深化零基预算改革，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强化预算约束，加强财政资金管理，加大支出结构优化力度，提高财政资金使用效益。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充分运用农村“三资”平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台，加强农村集体经济组织财务管理，规范农村集体经济组织财务行为，促进农村集体经济发展。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二是继续完善预算绩效管理工作机制。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综合绩效评价，运用绩效评审结果推进对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管理提质增效。加强财政支出项目全过程绩效管理，落实绩效管理结果与预算安排和政策调整“双挂钩”机制，谋划构建我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财政预算分行业、分领域、分部门绩效指标体系，推动绩效管理信息化转型。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聚焦财经领域突出问题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，深入开展监督检查工作，切实发挥财会监督利剑作用，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不断提升财会监督效能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2B23145E">
      <w:pPr>
        <w:pStyle w:val="3"/>
        <w:keepNext w:val="0"/>
        <w:keepLines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各位代表，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2025年是新中国成立76周年，是实现“十四五”规划目标任务的关键一年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。我们将在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镇党委、政府的坚强领导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和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镇人大的监督支持下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坚定信心，攻坚克难，牢固树立“大财政大预算”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花钱必问效、无效必问责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等管财理财新理念，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科学谋划做好财政工作，为我镇经济发展作出财政应有贡献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！</w:t>
      </w:r>
    </w:p>
    <w:p w14:paraId="7508A902">
      <w:pPr>
        <w:spacing w:line="560" w:lineRule="exact"/>
        <w:rPr>
          <w:rFonts w:ascii="Times New Roman" w:hAnsi="Times New Roman" w:cs="Times New Roman"/>
          <w:sz w:val="32"/>
          <w:szCs w:val="32"/>
          <w:highlight w:val="none"/>
        </w:rPr>
      </w:pPr>
    </w:p>
    <w:p w14:paraId="6E902721">
      <w:pPr>
        <w:pStyle w:val="3"/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DB1BF0-119F-4540-BC75-5A3E370570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768C45-C82C-49F0-86AD-A304F081416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A49D677-57D6-4275-A089-2A36C1CCEB6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87F0DCD-B5EB-43D4-83D6-4B66394229C6}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5" w:fontKey="{9FED6A08-F7F4-4061-B2C5-14F88AB031E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5B89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2C323">
                          <w:pPr>
                            <w:pStyle w:val="4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2C323">
                    <w:pPr>
                      <w:pStyle w:val="4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MTU1NTg4YzkxNDMzMTE0YmE0NmM1ZTdkMmJiMTMifQ=="/>
  </w:docVars>
  <w:rsids>
    <w:rsidRoot w:val="16296193"/>
    <w:rsid w:val="0006629F"/>
    <w:rsid w:val="003B02C8"/>
    <w:rsid w:val="004057C3"/>
    <w:rsid w:val="0044607F"/>
    <w:rsid w:val="00464B97"/>
    <w:rsid w:val="00471A30"/>
    <w:rsid w:val="004B0584"/>
    <w:rsid w:val="004E2F2F"/>
    <w:rsid w:val="00502A5E"/>
    <w:rsid w:val="006D4D98"/>
    <w:rsid w:val="00754E74"/>
    <w:rsid w:val="009D692F"/>
    <w:rsid w:val="00A826E8"/>
    <w:rsid w:val="00B248C1"/>
    <w:rsid w:val="00B57900"/>
    <w:rsid w:val="00BA4297"/>
    <w:rsid w:val="00D56813"/>
    <w:rsid w:val="00F20B13"/>
    <w:rsid w:val="012E65DB"/>
    <w:rsid w:val="01FB23CB"/>
    <w:rsid w:val="02AB2B14"/>
    <w:rsid w:val="02E56F24"/>
    <w:rsid w:val="034D4749"/>
    <w:rsid w:val="03531419"/>
    <w:rsid w:val="036E3376"/>
    <w:rsid w:val="03FE68E3"/>
    <w:rsid w:val="050E7C32"/>
    <w:rsid w:val="05CB1410"/>
    <w:rsid w:val="060C2D53"/>
    <w:rsid w:val="06AE413A"/>
    <w:rsid w:val="06C8392D"/>
    <w:rsid w:val="070736BE"/>
    <w:rsid w:val="07572B98"/>
    <w:rsid w:val="07915440"/>
    <w:rsid w:val="083F00F7"/>
    <w:rsid w:val="0860304A"/>
    <w:rsid w:val="0865202A"/>
    <w:rsid w:val="08C76272"/>
    <w:rsid w:val="098A7634"/>
    <w:rsid w:val="09EB0ED1"/>
    <w:rsid w:val="0A6721D3"/>
    <w:rsid w:val="0A6A6D1D"/>
    <w:rsid w:val="0B15477B"/>
    <w:rsid w:val="0BAA50B0"/>
    <w:rsid w:val="0BB96705"/>
    <w:rsid w:val="0BCA0B94"/>
    <w:rsid w:val="0C4E61A9"/>
    <w:rsid w:val="0C8D68DD"/>
    <w:rsid w:val="0D2C0F0C"/>
    <w:rsid w:val="0D4D5477"/>
    <w:rsid w:val="0E8D30BA"/>
    <w:rsid w:val="0ED97750"/>
    <w:rsid w:val="0F250F9E"/>
    <w:rsid w:val="0F8C5EDB"/>
    <w:rsid w:val="10324220"/>
    <w:rsid w:val="106C0D64"/>
    <w:rsid w:val="10963C3E"/>
    <w:rsid w:val="109B2B79"/>
    <w:rsid w:val="11366D28"/>
    <w:rsid w:val="11714607"/>
    <w:rsid w:val="11C2450C"/>
    <w:rsid w:val="124B60E2"/>
    <w:rsid w:val="128D52BB"/>
    <w:rsid w:val="129A4B95"/>
    <w:rsid w:val="12F61B96"/>
    <w:rsid w:val="136B6E83"/>
    <w:rsid w:val="13856B95"/>
    <w:rsid w:val="13A43368"/>
    <w:rsid w:val="15544E05"/>
    <w:rsid w:val="15CD49E2"/>
    <w:rsid w:val="15FF1F8C"/>
    <w:rsid w:val="16296193"/>
    <w:rsid w:val="16726B05"/>
    <w:rsid w:val="17B539FD"/>
    <w:rsid w:val="17E40558"/>
    <w:rsid w:val="18AC4909"/>
    <w:rsid w:val="18B20798"/>
    <w:rsid w:val="192F6BCA"/>
    <w:rsid w:val="193B2ACF"/>
    <w:rsid w:val="19420A11"/>
    <w:rsid w:val="199D1BE9"/>
    <w:rsid w:val="1A8B6099"/>
    <w:rsid w:val="1B3F3A2C"/>
    <w:rsid w:val="1B8D4B8F"/>
    <w:rsid w:val="1C891217"/>
    <w:rsid w:val="1D623594"/>
    <w:rsid w:val="1D794F44"/>
    <w:rsid w:val="1DD42F9D"/>
    <w:rsid w:val="1E18574A"/>
    <w:rsid w:val="1E1976E9"/>
    <w:rsid w:val="1EE96681"/>
    <w:rsid w:val="1EFC15CD"/>
    <w:rsid w:val="1F4D4815"/>
    <w:rsid w:val="1F86511B"/>
    <w:rsid w:val="219163B2"/>
    <w:rsid w:val="21B433D5"/>
    <w:rsid w:val="21E47D47"/>
    <w:rsid w:val="21F91958"/>
    <w:rsid w:val="22482056"/>
    <w:rsid w:val="22754915"/>
    <w:rsid w:val="22834F2F"/>
    <w:rsid w:val="22B014F4"/>
    <w:rsid w:val="23682C23"/>
    <w:rsid w:val="23811416"/>
    <w:rsid w:val="238530D8"/>
    <w:rsid w:val="23E6478B"/>
    <w:rsid w:val="244014C0"/>
    <w:rsid w:val="24B623B0"/>
    <w:rsid w:val="24FB037C"/>
    <w:rsid w:val="25AA6E87"/>
    <w:rsid w:val="26B74F7E"/>
    <w:rsid w:val="26B84D6F"/>
    <w:rsid w:val="270A7663"/>
    <w:rsid w:val="271E5C99"/>
    <w:rsid w:val="27554CAB"/>
    <w:rsid w:val="27835931"/>
    <w:rsid w:val="282A31F1"/>
    <w:rsid w:val="28543877"/>
    <w:rsid w:val="28A906B0"/>
    <w:rsid w:val="28B23A9D"/>
    <w:rsid w:val="28C5406C"/>
    <w:rsid w:val="29530E13"/>
    <w:rsid w:val="299C0ED5"/>
    <w:rsid w:val="2A2543F9"/>
    <w:rsid w:val="2A655045"/>
    <w:rsid w:val="2A712594"/>
    <w:rsid w:val="2B3264F9"/>
    <w:rsid w:val="2C015E8C"/>
    <w:rsid w:val="2CAD0457"/>
    <w:rsid w:val="2CD02A74"/>
    <w:rsid w:val="2E1867B0"/>
    <w:rsid w:val="2E251DDB"/>
    <w:rsid w:val="2E9B3506"/>
    <w:rsid w:val="2EB408A6"/>
    <w:rsid w:val="2EBF45CE"/>
    <w:rsid w:val="2EC956BA"/>
    <w:rsid w:val="30336A9F"/>
    <w:rsid w:val="31036C5A"/>
    <w:rsid w:val="315320AA"/>
    <w:rsid w:val="31754028"/>
    <w:rsid w:val="31B825D6"/>
    <w:rsid w:val="32B31181"/>
    <w:rsid w:val="33354CD3"/>
    <w:rsid w:val="3337456F"/>
    <w:rsid w:val="346048B5"/>
    <w:rsid w:val="346B5A36"/>
    <w:rsid w:val="34775538"/>
    <w:rsid w:val="34BB468D"/>
    <w:rsid w:val="356D5A32"/>
    <w:rsid w:val="35A77ADF"/>
    <w:rsid w:val="35F745D6"/>
    <w:rsid w:val="368562E7"/>
    <w:rsid w:val="36FF0B9C"/>
    <w:rsid w:val="371E3670"/>
    <w:rsid w:val="37866B0A"/>
    <w:rsid w:val="37C734D8"/>
    <w:rsid w:val="37D474A6"/>
    <w:rsid w:val="37F85F52"/>
    <w:rsid w:val="39023CEA"/>
    <w:rsid w:val="39625CE9"/>
    <w:rsid w:val="39A264EA"/>
    <w:rsid w:val="39D45192"/>
    <w:rsid w:val="39DF0C8E"/>
    <w:rsid w:val="3A0427A1"/>
    <w:rsid w:val="3A0674A4"/>
    <w:rsid w:val="3B2D08CA"/>
    <w:rsid w:val="3B8E61FC"/>
    <w:rsid w:val="3BAF41F0"/>
    <w:rsid w:val="3BC21C9A"/>
    <w:rsid w:val="3D140814"/>
    <w:rsid w:val="3D3F6C08"/>
    <w:rsid w:val="3D5E62CB"/>
    <w:rsid w:val="3D8A0299"/>
    <w:rsid w:val="3E053D4A"/>
    <w:rsid w:val="3E196EBD"/>
    <w:rsid w:val="3EBE5B15"/>
    <w:rsid w:val="3FA27F1B"/>
    <w:rsid w:val="40360D0D"/>
    <w:rsid w:val="414A2F01"/>
    <w:rsid w:val="42A55765"/>
    <w:rsid w:val="435E5971"/>
    <w:rsid w:val="43F45D3F"/>
    <w:rsid w:val="445107DA"/>
    <w:rsid w:val="44907754"/>
    <w:rsid w:val="44BF087B"/>
    <w:rsid w:val="44BF4D81"/>
    <w:rsid w:val="4503689F"/>
    <w:rsid w:val="451253EA"/>
    <w:rsid w:val="454C21C0"/>
    <w:rsid w:val="457C64B8"/>
    <w:rsid w:val="457C6BBA"/>
    <w:rsid w:val="457E0F4C"/>
    <w:rsid w:val="45B375E6"/>
    <w:rsid w:val="45C51230"/>
    <w:rsid w:val="4605689B"/>
    <w:rsid w:val="46752F28"/>
    <w:rsid w:val="469526DC"/>
    <w:rsid w:val="4698695F"/>
    <w:rsid w:val="470152B5"/>
    <w:rsid w:val="47395243"/>
    <w:rsid w:val="476623FD"/>
    <w:rsid w:val="476D78B8"/>
    <w:rsid w:val="47BF6167"/>
    <w:rsid w:val="47E53136"/>
    <w:rsid w:val="490A3F7F"/>
    <w:rsid w:val="493E4D5C"/>
    <w:rsid w:val="498E392B"/>
    <w:rsid w:val="49A506C9"/>
    <w:rsid w:val="4AFA7E0D"/>
    <w:rsid w:val="4B683B54"/>
    <w:rsid w:val="4B9D3A3C"/>
    <w:rsid w:val="4C411429"/>
    <w:rsid w:val="4C675333"/>
    <w:rsid w:val="4C797FE8"/>
    <w:rsid w:val="4D0619FF"/>
    <w:rsid w:val="4D2A4161"/>
    <w:rsid w:val="4DC04A01"/>
    <w:rsid w:val="4DD63967"/>
    <w:rsid w:val="4E4A40F4"/>
    <w:rsid w:val="4EAE4DA6"/>
    <w:rsid w:val="4FCD163E"/>
    <w:rsid w:val="5026645C"/>
    <w:rsid w:val="50973324"/>
    <w:rsid w:val="511A7984"/>
    <w:rsid w:val="517C35D5"/>
    <w:rsid w:val="519E79BF"/>
    <w:rsid w:val="51B45E9E"/>
    <w:rsid w:val="520C0581"/>
    <w:rsid w:val="526145DF"/>
    <w:rsid w:val="52CA46B7"/>
    <w:rsid w:val="53C700F8"/>
    <w:rsid w:val="53D824D4"/>
    <w:rsid w:val="543A3BB4"/>
    <w:rsid w:val="544A3BAE"/>
    <w:rsid w:val="5516131B"/>
    <w:rsid w:val="56225C07"/>
    <w:rsid w:val="567836B0"/>
    <w:rsid w:val="569465B1"/>
    <w:rsid w:val="57970B85"/>
    <w:rsid w:val="5808123C"/>
    <w:rsid w:val="582C5250"/>
    <w:rsid w:val="58522ACA"/>
    <w:rsid w:val="585A5481"/>
    <w:rsid w:val="58662A90"/>
    <w:rsid w:val="58A00174"/>
    <w:rsid w:val="58B54896"/>
    <w:rsid w:val="58CB3690"/>
    <w:rsid w:val="59420C2C"/>
    <w:rsid w:val="59970BF8"/>
    <w:rsid w:val="59CE1630"/>
    <w:rsid w:val="5A2E76C4"/>
    <w:rsid w:val="5A86613A"/>
    <w:rsid w:val="5B527FEF"/>
    <w:rsid w:val="5B610E8D"/>
    <w:rsid w:val="5C6B71AF"/>
    <w:rsid w:val="5C8F2968"/>
    <w:rsid w:val="5CDF4E0E"/>
    <w:rsid w:val="5D7F46F1"/>
    <w:rsid w:val="5DD8288C"/>
    <w:rsid w:val="5E19040B"/>
    <w:rsid w:val="5E3774A1"/>
    <w:rsid w:val="5E546CCA"/>
    <w:rsid w:val="5EE03046"/>
    <w:rsid w:val="5EE153E3"/>
    <w:rsid w:val="5EE972C4"/>
    <w:rsid w:val="5F2D11A7"/>
    <w:rsid w:val="5F42589F"/>
    <w:rsid w:val="601E18C0"/>
    <w:rsid w:val="604F0E8A"/>
    <w:rsid w:val="6071674B"/>
    <w:rsid w:val="619141DE"/>
    <w:rsid w:val="62315E8A"/>
    <w:rsid w:val="62AB5771"/>
    <w:rsid w:val="633321A5"/>
    <w:rsid w:val="634C2FBD"/>
    <w:rsid w:val="63F56A0D"/>
    <w:rsid w:val="645336B9"/>
    <w:rsid w:val="647944CC"/>
    <w:rsid w:val="6481518D"/>
    <w:rsid w:val="64A353FE"/>
    <w:rsid w:val="64B22797"/>
    <w:rsid w:val="64C94467"/>
    <w:rsid w:val="65500986"/>
    <w:rsid w:val="65FA76E4"/>
    <w:rsid w:val="66094DF3"/>
    <w:rsid w:val="674E1B5F"/>
    <w:rsid w:val="67A616F0"/>
    <w:rsid w:val="67DF2DF0"/>
    <w:rsid w:val="68151A22"/>
    <w:rsid w:val="68186335"/>
    <w:rsid w:val="68645136"/>
    <w:rsid w:val="6892481D"/>
    <w:rsid w:val="68FD3ECC"/>
    <w:rsid w:val="691449A0"/>
    <w:rsid w:val="6946539A"/>
    <w:rsid w:val="69B84CD0"/>
    <w:rsid w:val="6A3E5B5D"/>
    <w:rsid w:val="6AFF5ECF"/>
    <w:rsid w:val="6B3375DB"/>
    <w:rsid w:val="6B6E5BE5"/>
    <w:rsid w:val="6BA17EAF"/>
    <w:rsid w:val="6BDC75EA"/>
    <w:rsid w:val="6C590828"/>
    <w:rsid w:val="6C6E543F"/>
    <w:rsid w:val="6CA720D0"/>
    <w:rsid w:val="6CB43641"/>
    <w:rsid w:val="6DB22336"/>
    <w:rsid w:val="6E4B0F98"/>
    <w:rsid w:val="6F9353D6"/>
    <w:rsid w:val="6FDF2B93"/>
    <w:rsid w:val="702C48A1"/>
    <w:rsid w:val="71725BB0"/>
    <w:rsid w:val="719E532A"/>
    <w:rsid w:val="71AD54BC"/>
    <w:rsid w:val="71CC0E98"/>
    <w:rsid w:val="71DF760C"/>
    <w:rsid w:val="71FB286B"/>
    <w:rsid w:val="7237315C"/>
    <w:rsid w:val="72AE50D5"/>
    <w:rsid w:val="73566E81"/>
    <w:rsid w:val="73873B33"/>
    <w:rsid w:val="73B85401"/>
    <w:rsid w:val="73C10B20"/>
    <w:rsid w:val="73E34A7C"/>
    <w:rsid w:val="73E70B37"/>
    <w:rsid w:val="744F0556"/>
    <w:rsid w:val="747C3148"/>
    <w:rsid w:val="74932A0C"/>
    <w:rsid w:val="74E66755"/>
    <w:rsid w:val="74F5733F"/>
    <w:rsid w:val="751421B8"/>
    <w:rsid w:val="75505CA2"/>
    <w:rsid w:val="761A52E1"/>
    <w:rsid w:val="764C5E0A"/>
    <w:rsid w:val="7652792C"/>
    <w:rsid w:val="775F5E30"/>
    <w:rsid w:val="77F1379B"/>
    <w:rsid w:val="78021E42"/>
    <w:rsid w:val="788070F4"/>
    <w:rsid w:val="78E54E52"/>
    <w:rsid w:val="791D730D"/>
    <w:rsid w:val="798504CD"/>
    <w:rsid w:val="79933F60"/>
    <w:rsid w:val="7AB863D1"/>
    <w:rsid w:val="7AF332CC"/>
    <w:rsid w:val="7BB71DA2"/>
    <w:rsid w:val="7C480960"/>
    <w:rsid w:val="7E4435B5"/>
    <w:rsid w:val="7E7D47FA"/>
    <w:rsid w:val="7F827813"/>
    <w:rsid w:val="7F9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0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qFormat/>
    <w:uiPriority w:val="0"/>
    <w:pPr>
      <w:spacing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8</Pages>
  <Words>3947</Words>
  <Characters>4549</Characters>
  <Lines>57</Lines>
  <Paragraphs>16</Paragraphs>
  <TotalTime>60</TotalTime>
  <ScaleCrop>false</ScaleCrop>
  <LinksUpToDate>false</LinksUpToDate>
  <CharactersWithSpaces>4601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~莹~</dc:creator>
  <cp:lastModifiedBy>zsns</cp:lastModifiedBy>
  <dcterms:modified xsi:type="dcterms:W3CDTF">2025-01-20T02:46:36Z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11E0DDDA53AD4E98A59B6EA262EF6BDF</vt:lpwstr>
  </property>
  <property fmtid="{D5CDD505-2E9C-101B-9397-08002B2CF9AE}" pid="4" name="KSOTemplateDocerSaveRecord">
    <vt:lpwstr>eyJoZGlkIjoiNTE2MTU1NTg4YzkxNDMzMTE0YmE0NmM1ZTdkMmJiMTMiLCJ1c2VySWQiOiI1NjUyMDAxMzkifQ==</vt:lpwstr>
  </property>
</Properties>
</file>