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F6A07">
      <w:pPr>
        <w:adjustRightInd w:val="0"/>
        <w:snapToGrid w:val="0"/>
        <w:spacing w:line="574"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中山市三乡镇鸦岗经济联合社（一期）“工改工”宗地项目“三旧”改造方案</w:t>
      </w:r>
    </w:p>
    <w:p w14:paraId="6E2A222F">
      <w:pPr>
        <w:adjustRightInd w:val="0"/>
        <w:snapToGrid w:val="0"/>
        <w:spacing w:line="574" w:lineRule="exact"/>
        <w:jc w:val="left"/>
        <w:rPr>
          <w:rFonts w:hint="eastAsia" w:ascii="仿宋_GB2312" w:hAnsi="仿宋_GB2312" w:eastAsia="仿宋_GB2312" w:cs="仿宋_GB2312"/>
          <w:sz w:val="32"/>
          <w:szCs w:val="32"/>
          <w:lang w:val="en-US" w:eastAsia="zh-CN"/>
        </w:rPr>
      </w:pPr>
    </w:p>
    <w:p w14:paraId="209C2B50">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山市城市更新（“三旧”改造）专项规划和现行控制性详细规划，中山市三乡镇人民政府拟对位于鸦岗村鸦岗大街“三洲”工业区的中山市三乡镇鸦岗经济联合社（下称“鸦岗经联社”）的旧厂房用地进行改造，由鸦岗经联社自主改造，采取全面改造的改造方式。改造方案如下：</w:t>
      </w:r>
    </w:p>
    <w:p w14:paraId="7CD57BC0">
      <w:pPr>
        <w:adjustRightInd w:val="0"/>
        <w:snapToGrid w:val="0"/>
        <w:spacing w:line="574"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一、改造地块基本情况</w:t>
      </w:r>
    </w:p>
    <w:p w14:paraId="2F4075EB">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(一）总体情况</w:t>
      </w:r>
    </w:p>
    <w:p w14:paraId="1033AB07">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改造项目位于中山市三乡镇鸦岗大街三洲工业区，北至现状道路，南至亿宝利印花有限公司，东至农用地，西至鸦岗大街，用地面积1.6139公顷（16139.35平方米，折合约24.21亩）。</w:t>
      </w:r>
    </w:p>
    <w:p w14:paraId="7886822A">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（二）标图入库情况</w:t>
      </w:r>
    </w:p>
    <w:p w14:paraId="01F63AFF">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项目中1.3884公顷（13884.18平方米，折合约20.83亩）用地已于2009年纳入“三旧”标图入库，于2015年6月调整图斑，图斑编号为44200031133，纳入图斑面积为1.3884公顷（13884.18平方米，折合约20.83亩），为改造主体地块，作为地块一；另有</w:t>
      </w:r>
      <w:r>
        <w:rPr>
          <w:rFonts w:hint="eastAsia" w:ascii="仿宋_GB2312" w:hAnsi="仿宋_GB2312" w:eastAsia="仿宋_GB2312" w:cs="仿宋_GB2312"/>
          <w:b w:val="0"/>
          <w:bCs w:val="0"/>
          <w:i w:val="0"/>
          <w:iCs w:val="0"/>
          <w:spacing w:val="0"/>
          <w:sz w:val="32"/>
          <w:szCs w:val="32"/>
          <w:lang w:val="en-US" w:eastAsia="zh-CN"/>
        </w:rPr>
        <w:t>0.2255公顷（2255.18平方米，折合约3.38亩）</w:t>
      </w:r>
      <w:r>
        <w:rPr>
          <w:rFonts w:hint="eastAsia" w:ascii="仿宋_GB2312" w:hAnsi="仿宋_GB2312" w:eastAsia="仿宋_GB2312" w:cs="仿宋_GB2312"/>
          <w:sz w:val="32"/>
          <w:szCs w:val="32"/>
          <w:lang w:val="en-US" w:eastAsia="zh-CN"/>
        </w:rPr>
        <w:t>不符合“三旧”标图入库的条件，未纳入“三旧”标图入库,作为地块二。</w:t>
      </w:r>
    </w:p>
    <w:p w14:paraId="6BCE86A4">
      <w:pPr>
        <w:adjustRightInd w:val="0"/>
        <w:snapToGrid w:val="0"/>
        <w:spacing w:line="574" w:lineRule="exact"/>
        <w:ind w:firstLine="640" w:firstLineChars="20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（三）权属情况 </w:t>
      </w:r>
    </w:p>
    <w:p w14:paraId="3247E527">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改造项目涉及鸦岗经联社名下一宗集体土地，</w:t>
      </w:r>
      <w:r>
        <w:rPr>
          <w:rFonts w:hint="default" w:ascii="Times New Roman" w:hAnsi="Times New Roman" w:eastAsia="仿宋_GB2312" w:cs="Times New Roman"/>
          <w:color w:val="auto"/>
          <w:kern w:val="0"/>
          <w:sz w:val="32"/>
          <w:szCs w:val="32"/>
          <w:highlight w:val="none"/>
          <w:shd w:val="clear" w:color="auto" w:fill="auto"/>
          <w:lang w:val="en-US" w:eastAsia="zh-CN"/>
        </w:rPr>
        <w:t>未办理用地</w:t>
      </w:r>
      <w:r>
        <w:rPr>
          <w:rFonts w:hint="eastAsia" w:ascii="Times New Roman" w:hAnsi="Times New Roman" w:eastAsia="仿宋_GB2312" w:cs="Times New Roman"/>
          <w:color w:val="auto"/>
          <w:kern w:val="0"/>
          <w:sz w:val="32"/>
          <w:szCs w:val="32"/>
          <w:highlight w:val="none"/>
          <w:shd w:val="clear" w:color="auto" w:fill="auto"/>
          <w:lang w:val="en-US" w:eastAsia="zh-CN"/>
        </w:rPr>
        <w:t>使用权证</w:t>
      </w:r>
      <w:r>
        <w:rPr>
          <w:rFonts w:hint="default" w:ascii="Times New Roman" w:hAnsi="Times New Roman" w:eastAsia="仿宋_GB2312" w:cs="Times New Roman"/>
          <w:color w:val="auto"/>
          <w:kern w:val="0"/>
          <w:sz w:val="32"/>
          <w:szCs w:val="32"/>
          <w:highlight w:val="none"/>
          <w:shd w:val="clear" w:color="auto" w:fill="auto"/>
          <w:lang w:val="en-US" w:eastAsia="zh-CN"/>
        </w:rPr>
        <w:t>，</w:t>
      </w:r>
      <w:r>
        <w:rPr>
          <w:rFonts w:hint="eastAsia" w:ascii="Times New Roman" w:hAnsi="Times New Roman" w:eastAsia="仿宋_GB2312" w:cs="Times New Roman"/>
          <w:color w:val="auto"/>
          <w:kern w:val="0"/>
          <w:sz w:val="32"/>
          <w:szCs w:val="32"/>
          <w:highlight w:val="none"/>
          <w:shd w:val="clear" w:color="auto" w:fill="auto"/>
          <w:lang w:val="en-US" w:eastAsia="zh-CN"/>
        </w:rPr>
        <w:t>已办理集体</w:t>
      </w:r>
      <w:r>
        <w:rPr>
          <w:rFonts w:hint="default" w:ascii="Times New Roman" w:hAnsi="Times New Roman" w:eastAsia="仿宋_GB2312" w:cs="Times New Roman"/>
          <w:color w:val="auto"/>
          <w:kern w:val="0"/>
          <w:sz w:val="32"/>
          <w:szCs w:val="32"/>
          <w:highlight w:val="none"/>
          <w:shd w:val="clear" w:color="auto" w:fill="auto"/>
          <w:lang w:val="en-US" w:eastAsia="zh-CN"/>
        </w:rPr>
        <w:t>土地所有权证，</w:t>
      </w:r>
      <w:r>
        <w:rPr>
          <w:rFonts w:hint="eastAsia" w:ascii="仿宋_GB2312" w:hAnsi="仿宋_GB2312" w:eastAsia="仿宋_GB2312" w:cs="仿宋_GB2312"/>
          <w:spacing w:val="-6"/>
          <w:kern w:val="0"/>
          <w:sz w:val="32"/>
          <w:szCs w:val="32"/>
          <w:lang w:val="en-US" w:eastAsia="zh-CN"/>
        </w:rPr>
        <w:t>不动产权证号</w:t>
      </w:r>
      <w:r>
        <w:rPr>
          <w:rFonts w:hint="eastAsia" w:ascii="仿宋_GB2312" w:hAnsi="仿宋_GB2312" w:eastAsia="仿宋_GB2312" w:cs="仿宋_GB2312"/>
          <w:sz w:val="32"/>
          <w:szCs w:val="32"/>
          <w:lang w:val="en-US" w:eastAsia="zh-CN"/>
        </w:rPr>
        <w:t xml:space="preserve">为粤(2016)中山市不动产权第0125054号。 </w:t>
      </w:r>
    </w:p>
    <w:p w14:paraId="2ECD76B7">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（四）土地现状情况</w:t>
      </w:r>
    </w:p>
    <w:p w14:paraId="1D9B7A9D">
      <w:pPr>
        <w:adjustRightInd w:val="0"/>
        <w:snapToGrid w:val="0"/>
        <w:spacing w:line="574" w:lineRule="exact"/>
        <w:ind w:firstLine="616" w:firstLineChars="200"/>
        <w:jc w:val="left"/>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spacing w:val="-6"/>
          <w:kern w:val="0"/>
          <w:sz w:val="32"/>
          <w:szCs w:val="32"/>
          <w:lang w:val="en-US" w:eastAsia="zh-CN"/>
        </w:rPr>
        <w:t>用地在</w:t>
      </w:r>
      <w:r>
        <w:rPr>
          <w:rFonts w:hint="eastAsia" w:ascii="仿宋_GB2312" w:hAnsi="仿宋_GB2312" w:eastAsia="仿宋_GB2312" w:cs="仿宋_GB2312"/>
          <w:spacing w:val="-6"/>
          <w:kern w:val="0"/>
          <w:sz w:val="32"/>
          <w:szCs w:val="32"/>
        </w:rPr>
        <w:t>“二调”</w:t>
      </w:r>
      <w:r>
        <w:rPr>
          <w:rFonts w:hint="eastAsia" w:ascii="仿宋_GB2312" w:hAnsi="仿宋_GB2312" w:eastAsia="仿宋_GB2312" w:cs="仿宋_GB2312"/>
          <w:spacing w:val="-6"/>
          <w:kern w:val="0"/>
          <w:sz w:val="32"/>
          <w:szCs w:val="32"/>
          <w:lang w:val="en-US" w:eastAsia="zh-CN"/>
        </w:rPr>
        <w:t>及最新</w:t>
      </w:r>
      <w:r>
        <w:rPr>
          <w:rFonts w:hint="eastAsia" w:ascii="仿宋_GB2312" w:hAnsi="仿宋_GB2312" w:eastAsia="仿宋_GB2312" w:cs="仿宋_GB2312"/>
          <w:spacing w:val="-6"/>
          <w:kern w:val="0"/>
          <w:sz w:val="32"/>
          <w:szCs w:val="32"/>
        </w:rPr>
        <w:t>土地利用现状</w:t>
      </w:r>
      <w:r>
        <w:rPr>
          <w:rFonts w:hint="eastAsia" w:ascii="仿宋_GB2312" w:hAnsi="仿宋_GB2312" w:eastAsia="仿宋_GB2312" w:cs="仿宋_GB2312"/>
          <w:spacing w:val="-6"/>
          <w:kern w:val="0"/>
          <w:sz w:val="32"/>
          <w:szCs w:val="32"/>
          <w:lang w:val="en-US" w:eastAsia="zh-CN"/>
        </w:rPr>
        <w:t>中均为建设用地。</w:t>
      </w:r>
      <w:r>
        <w:rPr>
          <w:rFonts w:hint="eastAsia" w:ascii="仿宋_GB2312" w:hAnsi="仿宋_GB2312" w:eastAsia="仿宋_GB2312" w:cs="仿宋_GB2312"/>
          <w:spacing w:val="-6"/>
          <w:sz w:val="32"/>
          <w:szCs w:val="32"/>
          <w:lang w:val="en-US" w:eastAsia="zh-CN"/>
        </w:rPr>
        <w:t>不涉及</w:t>
      </w:r>
      <w:r>
        <w:rPr>
          <w:rFonts w:hint="eastAsia" w:ascii="仿宋_GB2312" w:hAnsi="仿宋_GB2312" w:eastAsia="仿宋_GB2312" w:cs="仿宋_GB2312"/>
          <w:spacing w:val="0"/>
          <w:kern w:val="2"/>
          <w:sz w:val="32"/>
          <w:szCs w:val="32"/>
        </w:rPr>
        <w:t>纳入改造范围整体利用的边角地、夹心地、插花地（下称“三地”）、其他用地、征地留用地、与原“三旧”用地置换的“三旧”用地或其他存量建设用地</w:t>
      </w:r>
      <w:r>
        <w:rPr>
          <w:rFonts w:hint="eastAsia" w:ascii="仿宋_GB2312" w:hAnsi="仿宋_GB2312" w:eastAsia="仿宋_GB2312" w:cs="仿宋_GB2312"/>
          <w:spacing w:val="0"/>
          <w:kern w:val="2"/>
          <w:sz w:val="32"/>
          <w:szCs w:val="32"/>
          <w:lang w:eastAsia="zh-CN"/>
        </w:rPr>
        <w:t>。</w:t>
      </w:r>
    </w:p>
    <w:p w14:paraId="6457CAA7">
      <w:pPr>
        <w:adjustRightInd w:val="0"/>
        <w:snapToGrid w:val="0"/>
        <w:spacing w:line="574" w:lineRule="exact"/>
        <w:ind w:firstLine="616" w:firstLineChars="200"/>
        <w:jc w:val="left"/>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范围内现有8栋建筑物，为鸦岗经联社自2003年开始陆续建设使用，均未办理规划报建等手续。现有建筑面积约19613.78平方米，现状容积率1.2，作工业厂房所用。该地块目前已拆除建筑面积0平方米，改造前年产值为1940万元（折合约80万/亩），年税收强度为50万元（折合约2万/亩）。</w:t>
      </w:r>
    </w:p>
    <w:p w14:paraId="3C9ACE97">
      <w:pPr>
        <w:adjustRightInd w:val="0"/>
        <w:snapToGrid w:val="0"/>
        <w:spacing w:line="574"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rPr>
        <w:t>改造范围内涉及违法用地面积</w:t>
      </w:r>
      <w:r>
        <w:rPr>
          <w:rFonts w:hint="eastAsia" w:ascii="仿宋_GB2312" w:hAnsi="仿宋_GB2312" w:eastAsia="仿宋_GB2312" w:cs="仿宋_GB2312"/>
          <w:sz w:val="32"/>
          <w:szCs w:val="32"/>
          <w:lang w:val="en-US" w:eastAsia="zh-CN"/>
        </w:rPr>
        <w:t>1.6139公顷（16139.35平方米，折合约24.21亩），其中0.1646公顷（1646.14平方米，折合约2.47亩）于2021年完成违法用地处置（中山自然资罚字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剩余1.4493公</w:t>
      </w:r>
      <w:bookmarkStart w:id="0" w:name="_GoBack"/>
      <w:bookmarkEnd w:id="0"/>
      <w:r>
        <w:rPr>
          <w:rFonts w:hint="eastAsia" w:ascii="仿宋_GB2312" w:hAnsi="仿宋_GB2312" w:eastAsia="仿宋_GB2312" w:cs="仿宋_GB2312"/>
          <w:sz w:val="32"/>
          <w:szCs w:val="32"/>
          <w:lang w:val="en-US" w:eastAsia="zh-CN"/>
        </w:rPr>
        <w:t>顷（14493.2平方米，折合约21.74亩）于2023年完成违法用地处置（</w:t>
      </w:r>
      <w:r>
        <w:rPr>
          <w:rFonts w:hint="eastAsia" w:ascii="仿宋_GB2312" w:hAnsi="仿宋_GB2312" w:eastAsia="仿宋_GB2312" w:cs="仿宋_GB2312"/>
          <w:sz w:val="32"/>
          <w:szCs w:val="32"/>
        </w:rPr>
        <w:t>粤中三乡综执执罚字〔2023〕258号</w:t>
      </w:r>
      <w:r>
        <w:rPr>
          <w:rFonts w:hint="eastAsia" w:ascii="宋体" w:hAnsi="宋体" w:eastAsia="宋体" w:cs="宋体"/>
          <w:sz w:val="24"/>
          <w:szCs w:val="24"/>
          <w:lang w:eastAsia="zh-CN"/>
        </w:rPr>
        <w:t>），</w:t>
      </w:r>
      <w:r>
        <w:rPr>
          <w:rFonts w:hint="eastAsia" w:ascii="仿宋_GB2312" w:hAnsi="仿宋_GB2312" w:eastAsia="仿宋_GB2312" w:cs="仿宋_GB2312"/>
          <w:kern w:val="0"/>
          <w:sz w:val="32"/>
          <w:szCs w:val="32"/>
          <w:lang w:val="en-US" w:eastAsia="zh-CN"/>
        </w:rPr>
        <w:t>当事人均已落实处罚。</w:t>
      </w:r>
    </w:p>
    <w:p w14:paraId="075C1B07">
      <w:pPr>
        <w:adjustRightInd w:val="0"/>
        <w:snapToGrid w:val="0"/>
        <w:spacing w:line="574" w:lineRule="exact"/>
        <w:ind w:firstLine="616"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spacing w:val="-6"/>
          <w:kern w:val="0"/>
          <w:sz w:val="32"/>
          <w:szCs w:val="32"/>
          <w:lang w:eastAsia="zh-CN"/>
        </w:rPr>
        <w:t>主体</w:t>
      </w:r>
      <w:r>
        <w:rPr>
          <w:rFonts w:hint="eastAsia" w:ascii="仿宋_GB2312" w:hAnsi="仿宋_GB2312" w:eastAsia="仿宋_GB2312" w:cs="仿宋_GB2312"/>
          <w:spacing w:val="-6"/>
          <w:kern w:val="0"/>
          <w:sz w:val="32"/>
          <w:szCs w:val="32"/>
        </w:rPr>
        <w:t>地块</w:t>
      </w:r>
      <w:r>
        <w:rPr>
          <w:rFonts w:ascii="仿宋_GB2312" w:hAnsi="仿宋_GB2312" w:eastAsia="仿宋_GB2312" w:cs="仿宋_GB2312"/>
          <w:spacing w:val="-6"/>
          <w:kern w:val="0"/>
          <w:sz w:val="32"/>
          <w:szCs w:val="32"/>
        </w:rPr>
        <w:t>不涉及</w:t>
      </w:r>
      <w:r>
        <w:rPr>
          <w:rFonts w:hint="eastAsia" w:ascii="仿宋_GB2312" w:hAnsi="仿宋_GB2312" w:eastAsia="仿宋_GB2312" w:cs="仿宋_GB2312"/>
          <w:spacing w:val="-6"/>
          <w:kern w:val="0"/>
          <w:sz w:val="32"/>
          <w:szCs w:val="32"/>
          <w:lang w:val="en-US" w:eastAsia="zh-CN"/>
        </w:rPr>
        <w:t>闲置用地，不涉及</w:t>
      </w:r>
      <w:r>
        <w:rPr>
          <w:rFonts w:ascii="仿宋_GB2312" w:hAnsi="仿宋_GB2312" w:eastAsia="仿宋_GB2312" w:cs="仿宋_GB2312"/>
          <w:spacing w:val="-6"/>
          <w:kern w:val="0"/>
          <w:sz w:val="32"/>
          <w:szCs w:val="32"/>
        </w:rPr>
        <w:t>抵押、</w:t>
      </w:r>
      <w:r>
        <w:rPr>
          <w:rFonts w:hint="eastAsia" w:ascii="仿宋_GB2312" w:hAnsi="仿宋_GB2312" w:eastAsia="仿宋_GB2312" w:cs="仿宋_GB2312"/>
          <w:spacing w:val="-6"/>
          <w:kern w:val="0"/>
          <w:sz w:val="32"/>
          <w:szCs w:val="32"/>
        </w:rPr>
        <w:t>闲置</w:t>
      </w:r>
      <w:r>
        <w:rPr>
          <w:rFonts w:hint="eastAsia" w:ascii="仿宋_GB2312" w:hAnsi="仿宋_GB2312" w:eastAsia="仿宋_GB2312" w:cs="仿宋_GB2312"/>
          <w:spacing w:val="-6"/>
          <w:kern w:val="0"/>
          <w:sz w:val="32"/>
          <w:szCs w:val="32"/>
          <w:highlight w:val="none"/>
          <w:lang w:eastAsia="zh-CN"/>
        </w:rPr>
        <w:t>、</w:t>
      </w:r>
      <w:r>
        <w:rPr>
          <w:rFonts w:ascii="仿宋_GB2312" w:hAnsi="仿宋_GB2312" w:eastAsia="仿宋_GB2312" w:cs="仿宋_GB2312"/>
          <w:spacing w:val="-6"/>
          <w:kern w:val="0"/>
          <w:sz w:val="32"/>
          <w:szCs w:val="32"/>
        </w:rPr>
        <w:t>历史文化资源要素、土壤环境潜在监管地块等情况。</w:t>
      </w:r>
    </w:p>
    <w:p w14:paraId="7EF7E809">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（五）规划情况</w:t>
      </w:r>
    </w:p>
    <w:p w14:paraId="67FC8920">
      <w:pPr>
        <w:adjustRightInd w:val="0"/>
        <w:snapToGrid w:val="0"/>
        <w:spacing w:line="574"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改造项目用地符合国土空间总体规划、控制性详细规划，</w:t>
      </w:r>
      <w:r>
        <w:rPr>
          <w:rFonts w:hint="eastAsia" w:ascii="仿宋_GB2312" w:hAnsi="仿宋_GB2312" w:eastAsia="仿宋_GB2312" w:cs="仿宋_GB2312"/>
          <w:color w:val="auto"/>
          <w:spacing w:val="-6"/>
          <w:kern w:val="0"/>
          <w:sz w:val="32"/>
          <w:szCs w:val="32"/>
          <w:highlight w:val="none"/>
          <w:u w:val="none"/>
          <w:lang w:eastAsia="zh-CN"/>
        </w:rPr>
        <w:t>已</w:t>
      </w:r>
      <w:r>
        <w:rPr>
          <w:rFonts w:hint="eastAsia" w:ascii="仿宋_GB2312" w:hAnsi="仿宋_GB2312" w:eastAsia="仿宋_GB2312" w:cs="仿宋_GB2312"/>
          <w:color w:val="auto"/>
          <w:spacing w:val="-6"/>
          <w:kern w:val="0"/>
          <w:sz w:val="32"/>
          <w:szCs w:val="32"/>
          <w:highlight w:val="none"/>
          <w:u w:val="none"/>
        </w:rPr>
        <w:t>纳入</w:t>
      </w:r>
      <w:r>
        <w:rPr>
          <w:rFonts w:hint="eastAsia" w:ascii="仿宋_GB2312" w:hAnsi="仿宋_GB2312" w:eastAsia="仿宋_GB2312" w:cs="仿宋_GB2312"/>
          <w:color w:val="auto"/>
          <w:spacing w:val="-6"/>
          <w:kern w:val="0"/>
          <w:sz w:val="32"/>
          <w:szCs w:val="32"/>
          <w:highlight w:val="none"/>
          <w:u w:val="none"/>
          <w:lang w:eastAsia="zh-CN"/>
        </w:rPr>
        <w:t>《中山市</w:t>
      </w:r>
      <w:r>
        <w:rPr>
          <w:rFonts w:hint="eastAsia" w:ascii="仿宋_GB2312" w:hAnsi="仿宋_GB2312" w:eastAsia="仿宋_GB2312" w:cs="仿宋_GB2312"/>
          <w:color w:val="auto"/>
          <w:spacing w:val="-6"/>
          <w:kern w:val="0"/>
          <w:sz w:val="32"/>
          <w:szCs w:val="32"/>
          <w:highlight w:val="none"/>
          <w:u w:val="none"/>
        </w:rPr>
        <w:t>城市更新</w:t>
      </w:r>
      <w:r>
        <w:rPr>
          <w:rFonts w:hint="eastAsia" w:ascii="仿宋_GB2312" w:hAnsi="仿宋_GB2312" w:eastAsia="仿宋_GB2312" w:cs="仿宋_GB2312"/>
          <w:color w:val="auto"/>
          <w:spacing w:val="-6"/>
          <w:kern w:val="0"/>
          <w:sz w:val="32"/>
          <w:szCs w:val="32"/>
          <w:highlight w:val="none"/>
          <w:u w:val="none"/>
          <w:lang w:eastAsia="zh-CN"/>
        </w:rPr>
        <w:t>（“三旧”改造）</w:t>
      </w:r>
      <w:r>
        <w:rPr>
          <w:rFonts w:hint="eastAsia" w:ascii="仿宋_GB2312" w:hAnsi="仿宋_GB2312" w:eastAsia="仿宋_GB2312" w:cs="仿宋_GB2312"/>
          <w:color w:val="auto"/>
          <w:spacing w:val="-6"/>
          <w:kern w:val="0"/>
          <w:sz w:val="32"/>
          <w:szCs w:val="32"/>
          <w:highlight w:val="none"/>
          <w:u w:val="none"/>
        </w:rPr>
        <w:t>专项规划（2020-2035）</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kern w:val="0"/>
          <w:sz w:val="32"/>
          <w:szCs w:val="32"/>
          <w:lang w:val="en-US" w:eastAsia="zh-CN"/>
        </w:rPr>
        <w:t>。其中，在国土空间总体规划中，属城乡建设用地</w:t>
      </w:r>
      <w:r>
        <w:rPr>
          <w:rFonts w:hint="eastAsia" w:ascii="仿宋_GB2312" w:hAnsi="仿宋_GB2312" w:eastAsia="仿宋_GB2312" w:cs="仿宋_GB2312"/>
          <w:sz w:val="32"/>
          <w:szCs w:val="32"/>
          <w:lang w:val="en-US" w:eastAsia="zh-CN"/>
        </w:rPr>
        <w:t>1.6139公顷（16139.35平方米，折合约24.21亩）；在《三乡镇金涌南片区控制性详细规划（2016）》（中府函〔2016〕800号）中，一类工业用地面积1.6139公顷（16139.35平方米，折合约24.21亩），</w:t>
      </w:r>
      <w:r>
        <w:rPr>
          <w:rFonts w:hint="eastAsia" w:ascii="仿宋_GB2312" w:hAnsi="仿宋_GB2312" w:eastAsia="仿宋_GB2312" w:cs="仿宋_GB2312"/>
          <w:kern w:val="0"/>
          <w:sz w:val="32"/>
          <w:szCs w:val="32"/>
        </w:rPr>
        <w:t>容积率为1.0-3.5，</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建筑密度为35-</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时</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lang w:val="en-US" w:eastAsia="zh-CN"/>
        </w:rPr>
        <w:t>建筑≤9层且高度≤50米；</w:t>
      </w:r>
      <w:r>
        <w:rPr>
          <w:rFonts w:hint="eastAsia" w:ascii="仿宋_GB2312" w:hAnsi="仿宋_GB2312" w:eastAsia="仿宋_GB2312" w:cs="仿宋_GB2312"/>
          <w:kern w:val="0"/>
          <w:sz w:val="32"/>
          <w:szCs w:val="32"/>
          <w:lang w:val="en-US" w:eastAsia="zh-CN"/>
        </w:rPr>
        <w:t>当建筑密度为35-60％时，</w:t>
      </w:r>
      <w:r>
        <w:rPr>
          <w:rFonts w:hint="eastAsia" w:ascii="仿宋_GB2312" w:hAnsi="仿宋_GB2312" w:eastAsia="仿宋_GB2312" w:cs="仿宋_GB2312"/>
          <w:kern w:val="0"/>
          <w:sz w:val="32"/>
          <w:szCs w:val="32"/>
          <w:highlight w:val="none"/>
          <w:lang w:val="en-US" w:eastAsia="zh-CN"/>
        </w:rPr>
        <w:t>建筑≤3层且高度≤24米</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绿地率为10-15%</w:t>
      </w:r>
      <w:r>
        <w:rPr>
          <w:rFonts w:hint="eastAsia" w:ascii="仿宋_GB2312" w:hAnsi="仿宋_GB2312" w:eastAsia="仿宋_GB2312" w:cs="仿宋_GB2312"/>
          <w:kern w:val="0"/>
          <w:sz w:val="32"/>
          <w:szCs w:val="32"/>
          <w:lang w:eastAsia="zh-CN"/>
        </w:rPr>
        <w:t>。</w:t>
      </w:r>
    </w:p>
    <w:p w14:paraId="2FBB6D04">
      <w:pPr>
        <w:adjustRightInd w:val="0"/>
        <w:snapToGrid w:val="0"/>
        <w:spacing w:line="574" w:lineRule="exact"/>
        <w:ind w:firstLine="640" w:firstLineChars="200"/>
        <w:jc w:val="left"/>
        <w:rPr>
          <w:rFonts w:hint="eastAsia"/>
          <w:lang w:val="en-US" w:eastAsia="zh-CN"/>
        </w:rPr>
      </w:pPr>
      <w:r>
        <w:rPr>
          <w:rFonts w:hint="eastAsia" w:ascii="仿宋_GB2312" w:hAnsi="仿宋_GB2312" w:eastAsia="仿宋_GB2312" w:cs="仿宋_GB2312"/>
          <w:kern w:val="0"/>
          <w:sz w:val="32"/>
          <w:szCs w:val="32"/>
          <w:lang w:eastAsia="zh-CN"/>
        </w:rPr>
        <w:t>地块</w:t>
      </w:r>
      <w:r>
        <w:rPr>
          <w:rFonts w:hint="eastAsia" w:ascii="仿宋_GB2312" w:hAnsi="仿宋_GB2312" w:eastAsia="仿宋_GB2312" w:cs="仿宋_GB2312"/>
          <w:kern w:val="0"/>
          <w:sz w:val="32"/>
          <w:szCs w:val="32"/>
        </w:rPr>
        <w:t>位于城镇开发边界范围内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不涉及永久基本农田、生态保护红线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林地和自然保护地</w:t>
      </w:r>
      <w:r>
        <w:rPr>
          <w:rFonts w:hint="eastAsia" w:ascii="仿宋_GB2312" w:hAnsi="仿宋_GB2312" w:eastAsia="仿宋_GB2312" w:cs="仿宋_GB2312"/>
          <w:kern w:val="0"/>
          <w:sz w:val="32"/>
          <w:szCs w:val="32"/>
        </w:rPr>
        <w:t>等管控要求</w:t>
      </w:r>
      <w:r>
        <w:rPr>
          <w:rFonts w:hint="eastAsia" w:ascii="仿宋_GB2312" w:hAnsi="仿宋_GB2312" w:eastAsia="仿宋_GB2312" w:cs="仿宋_GB2312"/>
          <w:kern w:val="0"/>
          <w:sz w:val="32"/>
          <w:szCs w:val="32"/>
          <w:lang w:eastAsia="zh-CN"/>
        </w:rPr>
        <w:t>。</w:t>
      </w:r>
    </w:p>
    <w:p w14:paraId="5FD55DAC">
      <w:pPr>
        <w:adjustRightInd w:val="0"/>
        <w:snapToGrid w:val="0"/>
        <w:spacing w:line="574"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二、改造意愿及补偿安置情况</w:t>
      </w:r>
    </w:p>
    <w:p w14:paraId="1B7A4C73">
      <w:pPr>
        <w:adjustRightInd w:val="0"/>
        <w:snapToGrid w:val="0"/>
        <w:spacing w:line="574" w:lineRule="exact"/>
        <w:ind w:firstLine="640" w:firstLineChars="200"/>
        <w:rPr>
          <w:rFonts w:hint="default" w:ascii="仿宋_GB2312" w:hAnsi="仿宋_GB2312" w:eastAsia="仿宋_GB2312" w:cs="仿宋_GB2312"/>
          <w:kern w:val="0"/>
          <w:sz w:val="32"/>
          <w:szCs w:val="32"/>
          <w:highlight w:val="yellow"/>
          <w:lang w:val="en-US"/>
        </w:rPr>
      </w:pPr>
      <w:r>
        <w:rPr>
          <w:rFonts w:hint="eastAsia" w:ascii="仿宋_GB2312" w:hAnsi="仿宋_GB2312" w:eastAsia="仿宋_GB2312" w:cs="仿宋_GB2312"/>
          <w:sz w:val="32"/>
          <w:szCs w:val="32"/>
          <w:lang w:val="en-US" w:eastAsia="zh-CN"/>
        </w:rPr>
        <w:t>改造范围涉及鸦岗经联社1个权利主体，中山市</w:t>
      </w:r>
      <w:r>
        <w:rPr>
          <w:rFonts w:hint="eastAsia" w:ascii="仿宋_GB2312" w:hAnsi="仿宋_GB2312" w:eastAsia="仿宋_GB2312" w:cs="仿宋_GB2312"/>
          <w:kern w:val="0"/>
          <w:sz w:val="32"/>
          <w:szCs w:val="32"/>
        </w:rPr>
        <w:t>三乡镇人民政府已按照法律法规，就改造范围、土地现状、改造主体及拟改造情况、补偿安置方式及标准等事项征询</w:t>
      </w:r>
      <w:r>
        <w:rPr>
          <w:rFonts w:hint="eastAsia" w:ascii="仿宋_GB2312" w:hAnsi="仿宋_GB2312" w:eastAsia="仿宋_GB2312" w:cs="仿宋_GB2312"/>
          <w:sz w:val="32"/>
          <w:szCs w:val="32"/>
          <w:lang w:val="en-US" w:eastAsia="zh-CN"/>
        </w:rPr>
        <w:t>鸦岗经联社</w:t>
      </w:r>
      <w:r>
        <w:rPr>
          <w:rFonts w:hint="eastAsia" w:ascii="仿宋_GB2312" w:hAnsi="仿宋_GB2312" w:eastAsia="仿宋_GB2312" w:cs="仿宋_GB2312"/>
          <w:kern w:val="0"/>
          <w:sz w:val="32"/>
          <w:szCs w:val="32"/>
        </w:rPr>
        <w:t>改造意愿，</w:t>
      </w:r>
      <w:r>
        <w:rPr>
          <w:rFonts w:hint="eastAsia" w:ascii="仿宋_GB2312" w:hAnsi="仿宋_GB2312" w:eastAsia="仿宋_GB2312" w:cs="仿宋_GB2312"/>
          <w:sz w:val="32"/>
          <w:szCs w:val="32"/>
          <w:lang w:val="en-US" w:eastAsia="zh-CN"/>
        </w:rPr>
        <w:t>经三分之二以上村民代表表决，同意将涉及土地、建筑纳入改造范围。改造范围不涉及征地、补偿安置等情况。</w:t>
      </w:r>
    </w:p>
    <w:p w14:paraId="1AC34B05">
      <w:pPr>
        <w:adjustRightInd w:val="0"/>
        <w:snapToGrid w:val="0"/>
        <w:spacing w:line="574"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三、改造主体、需办理用地手续及拟改造情况</w:t>
      </w:r>
    </w:p>
    <w:p w14:paraId="3005EC17">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根据有关规划要求，改造项目严格按国土空间总体规划、控制性详细规划管控要求建设。</w:t>
      </w:r>
    </w:p>
    <w:p w14:paraId="5B01E505">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（一）改造主体及拟改造情况</w:t>
      </w:r>
    </w:p>
    <w:p w14:paraId="7772A819">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该项目属于“工改工”宗地项目，拟采取权利人自主改造方式，由鸦岗经联社作为改造主体，实施全面改造。</w:t>
      </w:r>
    </w:p>
    <w:p w14:paraId="1C92ADC8">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（二）需办理的用地手续</w:t>
      </w:r>
    </w:p>
    <w:p w14:paraId="0A4873F3">
      <w:pPr>
        <w:adjustRightInd w:val="0"/>
        <w:snapToGrid w:val="0"/>
        <w:spacing w:line="574" w:lineRule="exact"/>
        <w:ind w:firstLine="640" w:firstLineChars="200"/>
        <w:jc w:val="left"/>
        <w:rPr>
          <w:rFonts w:hint="eastAsia" w:ascii="Times New Roman" w:hAnsi="Times New Roman" w:eastAsia="仿宋_GB2312"/>
          <w:spacing w:val="-6"/>
          <w:sz w:val="32"/>
          <w:szCs w:val="32"/>
          <w:highlight w:val="none"/>
          <w:lang w:val="en-US" w:eastAsia="zh-CN"/>
        </w:rPr>
      </w:pPr>
      <w:r>
        <w:rPr>
          <w:rFonts w:hint="eastAsia" w:ascii="仿宋_GB2312" w:hAnsi="仿宋_GB2312" w:eastAsia="仿宋_GB2312" w:cs="仿宋_GB2312"/>
          <w:sz w:val="32"/>
          <w:szCs w:val="32"/>
          <w:lang w:val="en-US" w:eastAsia="zh-CN"/>
        </w:rPr>
        <w:t>1.集体转用手续。地块一1.3884公顷（13884.18平方米，折合约20.83亩）与</w:t>
      </w:r>
      <w:r>
        <w:rPr>
          <w:rFonts w:hint="eastAsia" w:ascii="Times New Roman" w:hAnsi="Times New Roman" w:eastAsia="仿宋_GB2312"/>
          <w:spacing w:val="-6"/>
          <w:sz w:val="32"/>
          <w:szCs w:val="32"/>
          <w:highlight w:val="none"/>
          <w:lang w:val="en-US" w:eastAsia="zh-CN"/>
        </w:rPr>
        <w:t>地块二</w:t>
      </w:r>
      <w:r>
        <w:rPr>
          <w:rFonts w:hint="eastAsia" w:ascii="仿宋_GB2312" w:hAnsi="仿宋_GB2312" w:eastAsia="仿宋_GB2312" w:cs="仿宋_GB2312"/>
          <w:b w:val="0"/>
          <w:bCs w:val="0"/>
          <w:i w:val="0"/>
          <w:iCs w:val="0"/>
          <w:spacing w:val="0"/>
          <w:sz w:val="32"/>
          <w:szCs w:val="32"/>
          <w:lang w:val="en-US" w:eastAsia="zh-CN"/>
        </w:rPr>
        <w:t>0.2255公顷（2255.18平方米，折合约3.38亩）</w:t>
      </w:r>
      <w:r>
        <w:rPr>
          <w:rFonts w:hint="eastAsia" w:ascii="仿宋_GB2312" w:hAnsi="仿宋_GB2312" w:eastAsia="仿宋_GB2312" w:cs="仿宋_GB2312"/>
          <w:sz w:val="32"/>
          <w:szCs w:val="32"/>
          <w:lang w:val="en-US" w:eastAsia="zh-CN"/>
        </w:rPr>
        <w:t>需办理集体土地完善转用手续。地块一</w:t>
      </w:r>
      <w:r>
        <w:rPr>
          <w:rFonts w:hint="eastAsia" w:ascii="Times New Roman" w:hAnsi="Times New Roman" w:eastAsia="仿宋_GB2312"/>
          <w:spacing w:val="-6"/>
          <w:sz w:val="32"/>
          <w:szCs w:val="32"/>
          <w:highlight w:val="none"/>
        </w:rPr>
        <w:t>办理集体土地完善转用手续时，不涉及安排建设用地规模及用地指标</w:t>
      </w:r>
      <w:r>
        <w:rPr>
          <w:rFonts w:hint="eastAsia" w:ascii="Times New Roman" w:hAnsi="Times New Roman" w:eastAsia="仿宋_GB2312"/>
          <w:spacing w:val="-6"/>
          <w:sz w:val="32"/>
          <w:szCs w:val="32"/>
          <w:highlight w:val="none"/>
          <w:lang w:eastAsia="zh-CN"/>
        </w:rPr>
        <w:t>；</w:t>
      </w:r>
      <w:r>
        <w:rPr>
          <w:rFonts w:hint="eastAsia" w:ascii="仿宋_GB2312" w:hAnsi="仿宋_GB2312" w:eastAsia="仿宋_GB2312" w:cs="仿宋_GB2312"/>
          <w:b w:val="0"/>
          <w:bCs w:val="0"/>
          <w:i w:val="0"/>
          <w:iCs w:val="0"/>
          <w:spacing w:val="0"/>
          <w:sz w:val="32"/>
          <w:szCs w:val="32"/>
          <w:lang w:val="en-US" w:eastAsia="zh-CN"/>
        </w:rPr>
        <w:t>地块二不涉及安排建设用地规模，需安排建设用地指标</w:t>
      </w:r>
      <w:r>
        <w:rPr>
          <w:rFonts w:hint="eastAsia" w:ascii="Times New Roman" w:hAnsi="Times New Roman" w:eastAsia="仿宋_GB2312"/>
          <w:spacing w:val="-6"/>
          <w:sz w:val="32"/>
          <w:szCs w:val="32"/>
          <w:highlight w:val="none"/>
          <w:lang w:val="en-US" w:eastAsia="zh-CN"/>
        </w:rPr>
        <w:t>。</w:t>
      </w:r>
    </w:p>
    <w:p w14:paraId="72CB60F6">
      <w:pPr>
        <w:pStyle w:val="2"/>
        <w:jc w:val="both"/>
        <w:rPr>
          <w:rFonts w:hint="eastAsia" w:eastAsia="微软简标宋"/>
          <w:lang w:eastAsia="zh-CN"/>
        </w:rPr>
      </w:pPr>
      <w:r>
        <w:drawing>
          <wp:inline distT="0" distB="0" distL="114300" distR="114300">
            <wp:extent cx="5270500" cy="3907155"/>
            <wp:effectExtent l="0" t="0" r="635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0500" cy="3907155"/>
                    </a:xfrm>
                    <a:prstGeom prst="rect">
                      <a:avLst/>
                    </a:prstGeom>
                    <a:noFill/>
                    <a:ln>
                      <a:noFill/>
                    </a:ln>
                  </pic:spPr>
                </pic:pic>
              </a:graphicData>
            </a:graphic>
          </wp:inline>
        </w:drawing>
      </w:r>
    </w:p>
    <w:p w14:paraId="076429BF">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pacing w:val="0"/>
          <w:sz w:val="32"/>
          <w:szCs w:val="32"/>
          <w:lang w:val="en-US" w:eastAsia="zh-CN" w:bidi="ar-SA"/>
        </w:rPr>
        <w:t>集体建设用地证自用审批</w:t>
      </w:r>
      <w:r>
        <w:rPr>
          <w:rFonts w:hint="eastAsia" w:ascii="仿宋_GB2312" w:hAnsi="仿宋_GB2312" w:eastAsia="仿宋_GB2312" w:cs="仿宋_GB2312"/>
          <w:b w:val="0"/>
          <w:bCs w:val="0"/>
          <w:i w:val="0"/>
          <w:iCs w:val="0"/>
          <w:spacing w:val="0"/>
          <w:sz w:val="32"/>
          <w:szCs w:val="32"/>
          <w:lang w:val="en-US" w:eastAsia="zh-CN"/>
        </w:rPr>
        <w:t>。上述地块一和地块二在完成</w:t>
      </w:r>
      <w:r>
        <w:rPr>
          <w:rFonts w:hint="eastAsia" w:ascii="仿宋_GB2312" w:hAnsi="仿宋_GB2312" w:eastAsia="仿宋_GB2312" w:cs="仿宋_GB2312"/>
          <w:sz w:val="32"/>
          <w:szCs w:val="32"/>
          <w:lang w:val="en-US" w:eastAsia="zh-CN"/>
        </w:rPr>
        <w:t>集体土地完善转用手续</w:t>
      </w:r>
      <w:r>
        <w:rPr>
          <w:rFonts w:hint="eastAsia" w:ascii="仿宋_GB2312" w:hAnsi="仿宋_GB2312" w:eastAsia="仿宋_GB2312" w:cs="仿宋_GB2312"/>
          <w:b w:val="0"/>
          <w:bCs w:val="0"/>
          <w:i w:val="0"/>
          <w:iCs w:val="0"/>
          <w:spacing w:val="0"/>
          <w:sz w:val="32"/>
          <w:szCs w:val="32"/>
          <w:lang w:val="en-US" w:eastAsia="zh-CN"/>
        </w:rPr>
        <w:t>后，按照</w:t>
      </w:r>
      <w:r>
        <w:rPr>
          <w:rFonts w:hint="eastAsia" w:ascii="仿宋_GB2312" w:hAnsi="仿宋_GB2312" w:eastAsia="仿宋_GB2312" w:cs="仿宋_GB2312"/>
          <w:sz w:val="32"/>
          <w:szCs w:val="32"/>
          <w:lang w:val="en-US" w:eastAsia="zh-CN"/>
        </w:rPr>
        <w:t>《三乡镇金涌南片区控制性详细规划（2016）》（中府函〔2016〕800号）</w:t>
      </w:r>
      <w:r>
        <w:rPr>
          <w:rFonts w:hint="eastAsia" w:ascii="仿宋_GB2312" w:hAnsi="仿宋_GB2312" w:eastAsia="仿宋_GB2312" w:cs="仿宋_GB2312"/>
          <w:b w:val="0"/>
          <w:bCs w:val="0"/>
          <w:i w:val="0"/>
          <w:iCs w:val="0"/>
          <w:spacing w:val="0"/>
          <w:sz w:val="32"/>
          <w:szCs w:val="32"/>
          <w:lang w:val="en-US" w:eastAsia="zh-CN"/>
        </w:rPr>
        <w:t>，</w:t>
      </w:r>
      <w:r>
        <w:rPr>
          <w:rFonts w:hint="eastAsia" w:ascii="仿宋_GB2312" w:hAnsi="仿宋_GB2312" w:eastAsia="仿宋_GB2312" w:cs="仿宋_GB2312"/>
          <w:sz w:val="32"/>
          <w:szCs w:val="32"/>
          <w:lang w:val="en-US" w:eastAsia="zh-CN"/>
        </w:rPr>
        <w:t>1.6139公顷（16139.35平方米，折合约24.21亩）</w:t>
      </w:r>
      <w:r>
        <w:rPr>
          <w:rFonts w:hint="eastAsia" w:ascii="仿宋_GB2312" w:hAnsi="仿宋_GB2312" w:eastAsia="仿宋_GB2312" w:cs="仿宋_GB2312"/>
          <w:b w:val="0"/>
          <w:bCs w:val="0"/>
          <w:i w:val="0"/>
          <w:iCs w:val="0"/>
          <w:spacing w:val="0"/>
          <w:sz w:val="32"/>
          <w:szCs w:val="32"/>
          <w:lang w:val="en-US" w:eastAsia="zh-CN"/>
        </w:rPr>
        <w:t>用地规划一类工业用地拟采用集体自用方式按照一宗用地供地给鸦岗经联社，进行整体开发。</w:t>
      </w:r>
    </w:p>
    <w:p w14:paraId="7E9BC964">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（三）拟改造情况</w:t>
      </w:r>
    </w:p>
    <w:p w14:paraId="157995A8">
      <w:pPr>
        <w:numPr>
          <w:ilvl w:val="0"/>
          <w:numId w:val="0"/>
        </w:num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1.6139公顷（16139.35平方米，折合约24.21亩）</w:t>
      </w:r>
      <w:r>
        <w:rPr>
          <w:rFonts w:hint="eastAsia" w:ascii="仿宋_GB2312" w:hAnsi="仿宋_GB2312" w:eastAsia="仿宋_GB2312" w:cs="仿宋_GB2312"/>
          <w:b w:val="0"/>
          <w:bCs w:val="0"/>
          <w:i w:val="0"/>
          <w:iCs w:val="0"/>
          <w:spacing w:val="0"/>
          <w:sz w:val="32"/>
          <w:szCs w:val="32"/>
          <w:lang w:val="en-US" w:eastAsia="zh-CN"/>
        </w:rPr>
        <w:t>用地</w:t>
      </w:r>
      <w:r>
        <w:rPr>
          <w:rFonts w:hint="eastAsia" w:ascii="仿宋_GB2312" w:hAnsi="仿宋_GB2312" w:eastAsia="仿宋_GB2312" w:cs="仿宋_GB2312"/>
          <w:sz w:val="32"/>
          <w:szCs w:val="32"/>
          <w:lang w:val="en-US" w:eastAsia="zh-CN"/>
        </w:rPr>
        <w:t>改造后将用于工业生产，发展玻璃制品制造加工、 橡胶和塑料制品制造和五金行业等产业。在符合控制性详细规划的基础上，容积率不小于2.0，总建筑面积不小于32278.7平方米</w:t>
      </w:r>
      <w:r>
        <w:rPr>
          <w:rFonts w:hint="eastAsia" w:ascii="仿宋_GB2312" w:hAnsi="仿宋_GB2312" w:eastAsia="仿宋_GB2312" w:cs="仿宋_GB2312"/>
          <w:spacing w:val="0"/>
          <w:kern w:val="2"/>
          <w:sz w:val="32"/>
          <w:szCs w:val="32"/>
          <w:lang w:val="en-US" w:eastAsia="zh-CN"/>
        </w:rPr>
        <w:t>（不含不计容建筑面积）</w:t>
      </w:r>
      <w:r>
        <w:rPr>
          <w:rFonts w:hint="eastAsia" w:ascii="仿宋_GB2312" w:hAnsi="仿宋_GB2312" w:eastAsia="仿宋_GB2312" w:cs="仿宋_GB2312"/>
          <w:sz w:val="32"/>
          <w:szCs w:val="32"/>
          <w:lang w:val="en-US" w:eastAsia="zh-CN"/>
        </w:rPr>
        <w:t>，其中新建建筑面积不小于32278.7平方米(最终容积率及拟建面积以规划许可证批复为准。最终规划方案总平面图及单体图以规划许可证及施工许可证批复为准)，不保留原有建筑。</w:t>
      </w:r>
    </w:p>
    <w:p w14:paraId="20D389AF">
      <w:pPr>
        <w:adjustRightInd w:val="0"/>
        <w:snapToGrid w:val="0"/>
        <w:spacing w:line="574" w:lineRule="exact"/>
        <w:ind w:firstLine="616" w:firstLineChars="200"/>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pacing w:val="-6"/>
          <w:kern w:val="0"/>
          <w:sz w:val="32"/>
          <w:szCs w:val="32"/>
        </w:rPr>
        <w:t>项目符合国家《产业结构调整指导目录》</w:t>
      </w:r>
      <w:r>
        <w:rPr>
          <w:rFonts w:hint="eastAsia" w:ascii="仿宋_GB2312" w:hAnsi="仿宋_GB2312" w:eastAsia="仿宋_GB2312" w:cs="仿宋_GB2312"/>
          <w:spacing w:val="-6"/>
          <w:sz w:val="32"/>
        </w:rPr>
        <w:t>《</w:t>
      </w:r>
      <w:r>
        <w:rPr>
          <w:rFonts w:hint="eastAsia" w:ascii="仿宋_GB2312" w:hAnsi="仿宋_GB2312" w:eastAsia="仿宋_GB2312" w:cs="仿宋_GB2312"/>
          <w:spacing w:val="-6"/>
          <w:sz w:val="32"/>
          <w:szCs w:val="32"/>
        </w:rPr>
        <w:t>中山市“三线一单”生态环境分区管控方案</w:t>
      </w:r>
      <w:r>
        <w:rPr>
          <w:rFonts w:hint="eastAsia" w:ascii="仿宋_GB2312" w:hAnsi="仿宋_GB2312" w:eastAsia="仿宋_GB2312" w:cs="仿宋_GB2312"/>
          <w:spacing w:val="-6"/>
          <w:sz w:val="32"/>
        </w:rPr>
        <w:t>》</w:t>
      </w:r>
      <w:r>
        <w:rPr>
          <w:rFonts w:hint="eastAsia" w:ascii="仿宋_GB2312" w:hAnsi="仿宋_GB2312" w:eastAsia="仿宋_GB2312" w:cs="仿宋_GB2312"/>
          <w:spacing w:val="-6"/>
          <w:kern w:val="0"/>
          <w:sz w:val="32"/>
          <w:szCs w:val="32"/>
        </w:rPr>
        <w:t>《中山市涉挥发性有机物项目环保准入管理规定》。</w:t>
      </w:r>
      <w:r>
        <w:rPr>
          <w:rFonts w:hint="eastAsia" w:ascii="仿宋_GB2312" w:hAnsi="仿宋_GB2312" w:eastAsia="仿宋_GB2312" w:cs="仿宋_GB2312"/>
          <w:spacing w:val="-6"/>
          <w:kern w:val="0"/>
          <w:sz w:val="32"/>
          <w:szCs w:val="32"/>
          <w:highlight w:val="none"/>
        </w:rPr>
        <w:t>改造后</w:t>
      </w:r>
      <w:r>
        <w:rPr>
          <w:rFonts w:hint="eastAsia" w:ascii="仿宋_GB2312" w:hAnsi="仿宋_GB2312" w:eastAsia="仿宋_GB2312" w:cs="仿宋_GB2312"/>
          <w:spacing w:val="-6"/>
          <w:kern w:val="0"/>
          <w:sz w:val="32"/>
          <w:szCs w:val="32"/>
          <w:highlight w:val="none"/>
          <w:lang w:val="en-US" w:eastAsia="zh-CN"/>
        </w:rPr>
        <w:t>投资强度</w:t>
      </w:r>
      <w:r>
        <w:rPr>
          <w:rFonts w:hint="eastAsia" w:ascii="仿宋_GB2312" w:hAnsi="仿宋_GB2312" w:eastAsia="仿宋_GB2312" w:cs="仿宋_GB2312"/>
          <w:spacing w:val="-6"/>
          <w:kern w:val="0"/>
          <w:sz w:val="32"/>
          <w:szCs w:val="32"/>
          <w:highlight w:val="none"/>
        </w:rPr>
        <w:t>将达到</w:t>
      </w:r>
      <w:r>
        <w:rPr>
          <w:rFonts w:hint="eastAsia" w:ascii="仿宋_GB2312" w:hAnsi="仿宋_GB2312" w:eastAsia="仿宋_GB2312" w:cs="仿宋_GB2312"/>
          <w:spacing w:val="-6"/>
          <w:kern w:val="0"/>
          <w:sz w:val="32"/>
          <w:szCs w:val="32"/>
          <w:highlight w:val="none"/>
          <w:lang w:val="en-US" w:eastAsia="zh-CN"/>
        </w:rPr>
        <w:t>6780</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折合约280万元/亩），</w:t>
      </w:r>
      <w:r>
        <w:rPr>
          <w:rFonts w:hint="eastAsia" w:ascii="仿宋_GB2312" w:hAnsi="仿宋_GB2312" w:eastAsia="仿宋_GB2312" w:cs="仿宋_GB2312"/>
          <w:spacing w:val="-6"/>
          <w:kern w:val="0"/>
          <w:sz w:val="32"/>
          <w:szCs w:val="32"/>
          <w:highlight w:val="none"/>
        </w:rPr>
        <w:t>年产值将达到</w:t>
      </w:r>
      <w:r>
        <w:rPr>
          <w:rFonts w:hint="eastAsia" w:ascii="仿宋_GB2312" w:hAnsi="仿宋_GB2312" w:eastAsia="仿宋_GB2312" w:cs="仿宋_GB2312"/>
          <w:spacing w:val="-6"/>
          <w:kern w:val="0"/>
          <w:sz w:val="32"/>
          <w:szCs w:val="32"/>
          <w:highlight w:val="none"/>
          <w:lang w:val="en-US" w:eastAsia="zh-CN"/>
        </w:rPr>
        <w:t>10170</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折合约420万元/亩）</w:t>
      </w:r>
      <w:r>
        <w:rPr>
          <w:rFonts w:hint="eastAsia" w:ascii="仿宋_GB2312" w:hAnsi="仿宋_GB2312" w:eastAsia="仿宋_GB2312" w:cs="仿宋_GB2312"/>
          <w:spacing w:val="-6"/>
          <w:kern w:val="0"/>
          <w:sz w:val="32"/>
          <w:szCs w:val="32"/>
          <w:highlight w:val="none"/>
        </w:rPr>
        <w:t>，年税收将达到</w:t>
      </w:r>
      <w:r>
        <w:rPr>
          <w:rFonts w:hint="eastAsia" w:ascii="仿宋_GB2312" w:hAnsi="仿宋_GB2312" w:eastAsia="仿宋_GB2312" w:cs="仿宋_GB2312"/>
          <w:spacing w:val="-6"/>
          <w:kern w:val="0"/>
          <w:sz w:val="32"/>
          <w:szCs w:val="32"/>
          <w:highlight w:val="none"/>
          <w:lang w:val="en-US" w:eastAsia="zh-CN"/>
        </w:rPr>
        <w:t>364</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折合约15万元/亩）</w:t>
      </w:r>
      <w:r>
        <w:rPr>
          <w:rFonts w:hint="eastAsia" w:ascii="仿宋_GB2312" w:hAnsi="仿宋_GB2312" w:eastAsia="仿宋_GB2312" w:cs="仿宋_GB2312"/>
          <w:spacing w:val="-6"/>
          <w:kern w:val="0"/>
          <w:sz w:val="32"/>
          <w:szCs w:val="32"/>
          <w:highlight w:val="none"/>
        </w:rPr>
        <w:t>。</w:t>
      </w:r>
    </w:p>
    <w:p w14:paraId="76B70D85">
      <w:pPr>
        <w:adjustRightInd w:val="0"/>
        <w:snapToGrid w:val="0"/>
        <w:spacing w:line="574"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四、资金筹措</w:t>
      </w:r>
    </w:p>
    <w:p w14:paraId="26345BAD">
      <w:pPr>
        <w:adjustRightInd w:val="0"/>
        <w:snapToGrid w:val="0"/>
        <w:spacing w:line="574" w:lineRule="exact"/>
        <w:ind w:firstLine="640" w:firstLineChars="200"/>
        <w:jc w:val="left"/>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改造项目由改造主体拟投入资金</w:t>
      </w:r>
      <w:r>
        <w:rPr>
          <w:rFonts w:hint="eastAsia" w:ascii="仿宋_GB2312" w:hAnsi="仿宋_GB2312" w:eastAsia="仿宋_GB2312" w:cs="仿宋_GB2312"/>
          <w:spacing w:val="-6"/>
          <w:kern w:val="0"/>
          <w:sz w:val="32"/>
          <w:szCs w:val="32"/>
          <w:highlight w:val="none"/>
          <w:lang w:val="en-US" w:eastAsia="zh-CN"/>
        </w:rPr>
        <w:t>6780</w:t>
      </w:r>
      <w:r>
        <w:rPr>
          <w:rFonts w:hint="eastAsia" w:ascii="仿宋_GB2312" w:hAnsi="仿宋_GB2312" w:eastAsia="仿宋_GB2312" w:cs="仿宋_GB2312"/>
          <w:spacing w:val="0"/>
          <w:kern w:val="2"/>
          <w:sz w:val="32"/>
          <w:szCs w:val="32"/>
          <w:lang w:val="en-US" w:eastAsia="zh-CN"/>
        </w:rPr>
        <w:t>万元，其中自有资金2400万元，</w:t>
      </w:r>
      <w:r>
        <w:rPr>
          <w:rFonts w:hint="eastAsia" w:ascii="仿宋_GB2312" w:hAnsi="仿宋_GB2312" w:eastAsia="仿宋_GB2312" w:cs="仿宋_GB2312"/>
          <w:spacing w:val="0"/>
          <w:kern w:val="2"/>
          <w:sz w:val="32"/>
          <w:szCs w:val="32"/>
          <w:highlight w:val="none"/>
          <w:lang w:val="en-US" w:eastAsia="zh-CN"/>
        </w:rPr>
        <w:t>银行贷款4380万元，</w:t>
      </w:r>
      <w:r>
        <w:rPr>
          <w:rFonts w:hint="eastAsia" w:ascii="仿宋_GB2312" w:hAnsi="仿宋_GB2312" w:eastAsia="仿宋_GB2312" w:cs="仿宋_GB2312"/>
          <w:spacing w:val="0"/>
          <w:kern w:val="2"/>
          <w:sz w:val="32"/>
          <w:szCs w:val="32"/>
          <w:lang w:val="en-US" w:eastAsia="zh-CN"/>
        </w:rPr>
        <w:t>以上述数据以最终实际发生为准。</w:t>
      </w:r>
    </w:p>
    <w:p w14:paraId="473B8F71">
      <w:pPr>
        <w:adjustRightInd w:val="0"/>
        <w:snapToGrid w:val="0"/>
        <w:spacing w:line="574"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五、开发时序</w:t>
      </w:r>
    </w:p>
    <w:p w14:paraId="089C3866">
      <w:pPr>
        <w:adjustRightInd w:val="0"/>
        <w:snapToGrid w:val="0"/>
        <w:spacing w:line="574" w:lineRule="exact"/>
        <w:ind w:firstLine="640" w:firstLineChars="200"/>
        <w:jc w:val="left"/>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项目自市政府批准供地之日起365日内开工建设，自开工之日起365日内竣工。</w:t>
      </w:r>
    </w:p>
    <w:p w14:paraId="007C749F">
      <w:pPr>
        <w:adjustRightInd w:val="0"/>
        <w:snapToGrid w:val="0"/>
        <w:spacing w:line="574"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六、实施监管</w:t>
      </w:r>
    </w:p>
    <w:p w14:paraId="0CD8AB3D">
      <w:pPr>
        <w:adjustRightInd w:val="0"/>
        <w:snapToGrid w:val="0"/>
        <w:spacing w:line="574" w:lineRule="exact"/>
        <w:ind w:firstLine="640" w:firstLineChars="200"/>
        <w:rPr>
          <w:rFonts w:hint="default"/>
          <w:lang w:val="en-US" w:eastAsia="zh-CN"/>
        </w:rPr>
      </w:pPr>
      <w:r>
        <w:rPr>
          <w:rFonts w:hint="eastAsia" w:ascii="仿宋_GB2312" w:hAnsi="仿宋_GB2312" w:eastAsia="仿宋_GB2312" w:cs="仿宋_GB2312"/>
          <w:snapToGrid w:val="0"/>
          <w:kern w:val="0"/>
          <w:sz w:val="32"/>
          <w:szCs w:val="32"/>
          <w:highlight w:val="none"/>
          <w:shd w:val="clear" w:color="auto" w:fill="auto"/>
          <w:lang w:eastAsia="zh-CN"/>
        </w:rPr>
        <w:t>以</w:t>
      </w:r>
      <w:r>
        <w:rPr>
          <w:rFonts w:hint="eastAsia" w:ascii="仿宋_GB2312" w:hAnsi="仿宋_GB2312" w:eastAsia="仿宋_GB2312" w:cs="仿宋_GB2312"/>
          <w:snapToGrid w:val="0"/>
          <w:kern w:val="0"/>
          <w:sz w:val="32"/>
          <w:szCs w:val="32"/>
          <w:highlight w:val="none"/>
          <w:shd w:val="clear" w:color="auto" w:fill="auto"/>
          <w:lang w:val="en-US" w:eastAsia="zh-CN"/>
        </w:rPr>
        <w:t>中山市</w:t>
      </w:r>
      <w:r>
        <w:rPr>
          <w:rFonts w:hint="eastAsia" w:ascii="仿宋_GB2312" w:hAnsi="仿宋_GB2312" w:eastAsia="仿宋_GB2312" w:cs="仿宋_GB2312"/>
          <w:snapToGrid w:val="0"/>
          <w:kern w:val="0"/>
          <w:sz w:val="32"/>
          <w:szCs w:val="32"/>
          <w:highlight w:val="none"/>
          <w:shd w:val="clear" w:color="auto" w:fill="auto"/>
        </w:rPr>
        <w:t>三乡镇人民政府</w:t>
      </w:r>
      <w:r>
        <w:rPr>
          <w:rFonts w:hint="eastAsia" w:ascii="Times New Roman" w:hAnsi="Times New Roman" w:eastAsia="仿宋_GB2312"/>
          <w:spacing w:val="-6"/>
          <w:sz w:val="32"/>
          <w:szCs w:val="32"/>
        </w:rPr>
        <w:t>与改造主体签订的监管协议为准。</w:t>
      </w: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altName w:val="宋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BA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4B2D2">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4B2D2">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YjhkOTg3NjQ0OTE3YjRiNDYxYTFjZDQ5OGU0NzQifQ=="/>
  </w:docVars>
  <w:rsids>
    <w:rsidRoot w:val="00172A27"/>
    <w:rsid w:val="006812B8"/>
    <w:rsid w:val="00C16361"/>
    <w:rsid w:val="041C67F4"/>
    <w:rsid w:val="056548FD"/>
    <w:rsid w:val="057354FE"/>
    <w:rsid w:val="08F7246F"/>
    <w:rsid w:val="0A48272E"/>
    <w:rsid w:val="0B6D501C"/>
    <w:rsid w:val="0D037898"/>
    <w:rsid w:val="0FE36F22"/>
    <w:rsid w:val="133B406A"/>
    <w:rsid w:val="13DA1543"/>
    <w:rsid w:val="15BB01A2"/>
    <w:rsid w:val="174C5C47"/>
    <w:rsid w:val="17AF2ABE"/>
    <w:rsid w:val="1A9C4EA6"/>
    <w:rsid w:val="1AB517A0"/>
    <w:rsid w:val="1C86611B"/>
    <w:rsid w:val="1D7B39D6"/>
    <w:rsid w:val="1DC83AB0"/>
    <w:rsid w:val="1E15353F"/>
    <w:rsid w:val="20D847EC"/>
    <w:rsid w:val="239272B0"/>
    <w:rsid w:val="23EB4131"/>
    <w:rsid w:val="27254E36"/>
    <w:rsid w:val="27A50B7C"/>
    <w:rsid w:val="291C1D36"/>
    <w:rsid w:val="2AD875D8"/>
    <w:rsid w:val="2C8C0643"/>
    <w:rsid w:val="323718B3"/>
    <w:rsid w:val="340672AC"/>
    <w:rsid w:val="365D024B"/>
    <w:rsid w:val="37395CEE"/>
    <w:rsid w:val="38FC516F"/>
    <w:rsid w:val="39506A71"/>
    <w:rsid w:val="3A1160D4"/>
    <w:rsid w:val="3C8F13A7"/>
    <w:rsid w:val="3D9C1D84"/>
    <w:rsid w:val="4051004A"/>
    <w:rsid w:val="42260F40"/>
    <w:rsid w:val="42945FFA"/>
    <w:rsid w:val="42B25F5C"/>
    <w:rsid w:val="43A45688"/>
    <w:rsid w:val="447E6E31"/>
    <w:rsid w:val="4498561D"/>
    <w:rsid w:val="45C2149A"/>
    <w:rsid w:val="47AF3235"/>
    <w:rsid w:val="47D244EB"/>
    <w:rsid w:val="497F1DC7"/>
    <w:rsid w:val="4EBE7E46"/>
    <w:rsid w:val="4FD05993"/>
    <w:rsid w:val="50D7306C"/>
    <w:rsid w:val="51601922"/>
    <w:rsid w:val="51755E9C"/>
    <w:rsid w:val="51A30802"/>
    <w:rsid w:val="543E697E"/>
    <w:rsid w:val="54AC6AC2"/>
    <w:rsid w:val="56D64358"/>
    <w:rsid w:val="5726748C"/>
    <w:rsid w:val="574E39CD"/>
    <w:rsid w:val="576C2495"/>
    <w:rsid w:val="57983505"/>
    <w:rsid w:val="59BE2B4A"/>
    <w:rsid w:val="5AAF091C"/>
    <w:rsid w:val="5AE70331"/>
    <w:rsid w:val="5BFA335F"/>
    <w:rsid w:val="5C9C0479"/>
    <w:rsid w:val="5DC20050"/>
    <w:rsid w:val="5EAC1134"/>
    <w:rsid w:val="5EDF4A03"/>
    <w:rsid w:val="5F5778F8"/>
    <w:rsid w:val="5F8E4421"/>
    <w:rsid w:val="603E797B"/>
    <w:rsid w:val="606F61FE"/>
    <w:rsid w:val="6124022E"/>
    <w:rsid w:val="612E74E2"/>
    <w:rsid w:val="647E6110"/>
    <w:rsid w:val="65FF19F5"/>
    <w:rsid w:val="66367C06"/>
    <w:rsid w:val="666B003F"/>
    <w:rsid w:val="674E33EC"/>
    <w:rsid w:val="677E1681"/>
    <w:rsid w:val="67DC3F30"/>
    <w:rsid w:val="68E10D8C"/>
    <w:rsid w:val="6A41230D"/>
    <w:rsid w:val="6AC11B38"/>
    <w:rsid w:val="6C4516BA"/>
    <w:rsid w:val="6EC205C7"/>
    <w:rsid w:val="6ECC1C52"/>
    <w:rsid w:val="70786E99"/>
    <w:rsid w:val="73667463"/>
    <w:rsid w:val="74381F51"/>
    <w:rsid w:val="76303EF4"/>
    <w:rsid w:val="76706953"/>
    <w:rsid w:val="78E36D1B"/>
    <w:rsid w:val="790B4846"/>
    <w:rsid w:val="7A5B2137"/>
    <w:rsid w:val="7BC74258"/>
    <w:rsid w:val="7BE7468B"/>
    <w:rsid w:val="7C4E15F0"/>
    <w:rsid w:val="7ED7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4"/>
    <w:basedOn w:val="1"/>
    <w:next w:val="1"/>
    <w:unhideWhenUsed/>
    <w:qFormat/>
    <w:uiPriority w:val="9"/>
    <w:pPr>
      <w:keepNext/>
      <w:keepLines/>
      <w:spacing w:before="200"/>
      <w:outlineLvl w:val="3"/>
    </w:pPr>
    <w:rPr>
      <w:rFonts w:ascii="Cambria" w:hAnsi="Cambria" w:eastAsia="宋体" w:cs="Times New Roman"/>
      <w:b/>
      <w:bCs/>
      <w:i/>
      <w:iCs/>
      <w:color w:val="4F81BD"/>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36"/>
      <w:ind w:left="106"/>
    </w:pPr>
    <w:rPr>
      <w:rFonts w:ascii="仿宋_GB2312" w:hAnsi="仿宋_GB2312" w:eastAsia="仿宋_GB2312"/>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2022-04-28T00:44:00Z</dcterms:created>
  <dc:creator>ZSuser</dc:creator>
  <cp:lastModifiedBy>李杰峰</cp:lastModifiedBy>
  <dcterms:modified xsi:type="dcterms:W3CDTF">2025-01-20T01:55:55Z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C3A59F31CBA047899DB82C22BFEFC0AF</vt:lpwstr>
  </property>
</Properties>
</file>