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standalone="yes"?><Relationships xmlns="http://schemas.openxmlformats.org/package/2006/relationships"><Relationship Id="rId1" Type="http://schemas.openxmlformats.org/package/2006/relationships/metadata/core-properties" Target="docProps/core.xml" /><Relationship Id="rId2" Type="http://schemas.openxmlformats.org/officeDocument/2006/relationships/extended-properties" Target="docProps/app.xml" /><Relationship Id="rId0" Type="http://schemas.openxmlformats.org/officeDocument/2006/relationships/officeDocument" Target="word/document.xml" /></Relationships>
</file>

<file path=word/document.xml><?xml version="1.0" encoding="utf-8"?>
<w:document xmlns:wps="http://schemas.microsoft.com/office/word/2010/wordprocessingShape" xmlns:r="http://schemas.openxmlformats.org/officeDocument/2006/relationships" xmlns:wpg="http://schemas.microsoft.com/office/word/2010/wordprocessingGroup" xmlns:wp="http://schemas.openxmlformats.org/drawingml/2006/wordprocessingDrawing" xmlns:w15="http://schemas.microsoft.com/office/word/2012/wordml" xmlns:wne="http://schemas.microsoft.com/office/word/2006/wordml" xmlns:w14="http://schemas.microsoft.com/office/word/2010/wordml" xmlns:v="urn:schemas-microsoft-com:vml" xmlns:wp14="http://schemas.microsoft.com/office/word/2010/wordprocessingDrawing" xmlns:w10="urn:schemas-microsoft-com:office:word" xmlns:wpi="http://schemas.microsoft.com/office/word/2010/wordprocessingInk"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14:paraId="57612929">
      <w:pPr>
        <w:spacing w:lineRule="exact" w:line="540" w:beforeAutospacing="0" w:afterAutospacing="0"/>
        <w:rPr>
          <w:b w:val="0"/>
          <w:bCs w:val="0"/>
          <w:sz w:val="36"/>
          <w:szCs w:val="36"/>
          <w:lang w:eastAsia="zh-CN" w:val="en-US"/>
          <w:rFonts w:hint="eastAsia" w:cs="仿宋" w:eastAsia="仿宋" w:hAnsi="仿宋" w:ascii="仿宋"/>
        </w:rPr>
        <w:jc w:val="center"/>
      </w:pPr>
      <w:r>
        <w:rPr>
          <w:b w:val="0"/>
          <w:bCs w:val="0"/>
          <w:sz w:val="36"/>
          <w:szCs w:val="36"/>
          <w:lang w:eastAsia="zh-CN"/>
          <w:rFonts w:hint="eastAsia" w:cs="仿宋" w:eastAsia="仿宋" w:hAnsi="仿宋" w:ascii="仿宋"/>
        </w:rPr>
        <w:t>东凤镇海伦湾小区外围部分区域智慧停车场合作建设运营项目</w:t>
      </w:r>
      <w:r>
        <w:rPr>
          <w:b w:val="0"/>
          <w:bCs w:val="0"/>
          <w:sz w:val="36"/>
          <w:szCs w:val="36"/>
          <w:rFonts w:hint="eastAsia" w:cs="仿宋" w:eastAsia="仿宋" w:hAnsi="仿宋" w:ascii="仿宋"/>
        </w:rPr>
        <w:t>招</w:t>
      </w:r>
      <w:r>
        <w:rPr>
          <w:b w:val="0"/>
          <w:bCs w:val="0"/>
          <w:sz w:val="36"/>
          <w:szCs w:val="36"/>
          <w:lang w:eastAsia="zh-CN"/>
          <w:rFonts w:hint="eastAsia" w:cs="仿宋" w:eastAsia="仿宋" w:hAnsi="仿宋" w:ascii="仿宋"/>
        </w:rPr>
        <w:t>租</w:t>
      </w:r>
      <w:r>
        <w:rPr>
          <w:b w:val="0"/>
          <w:bCs w:val="0"/>
          <w:sz w:val="36"/>
          <w:szCs w:val="36"/>
          <w:rFonts w:hint="eastAsia" w:cs="仿宋" w:eastAsia="仿宋" w:hAnsi="仿宋" w:ascii="仿宋"/>
        </w:rPr>
        <w:t>方案</w:t>
      </w:r>
      <w:r>
        <w:rPr>
          <w:b w:val="0"/>
          <w:bCs w:val="0"/>
          <w:sz w:val="36"/>
          <w:szCs w:val="36"/>
          <w:lang w:eastAsia="zh-CN"/>
          <w:rFonts w:hint="eastAsia" w:cs="仿宋" w:eastAsia="仿宋" w:hAnsi="仿宋" w:ascii="仿宋"/>
        </w:rPr>
        <w:t>（第三次）</w:t>
      </w:r>
    </w:p>
    <w:p w14:paraId="60D71B5C">
      <w:pPr>
        <w:spacing w:lineRule="exact" w:line="600" w:beforeAutospacing="0" w:afterAutospacing="0"/>
        <w:ind w:firstLineChars="200" w:firstLine="560"/>
        <w:rPr>
          <w:sz w:val="28"/>
          <w:szCs w:val="28"/>
          <w:rFonts w:cs="仿宋_GB2312" w:eastAsia="仿宋_GB2312" w:hAnsi="仿宋_GB2312" w:ascii="仿宋_GB2312"/>
        </w:rPr>
      </w:pPr>
    </w:p>
    <w:p w14:paraId="682AEBFE">
      <w:pPr>
        <w:spacing w:lineRule="auto" w:line="240" w:beforeAutospacing="0" w:afterAutospacing="0"/>
        <w:ind w:firstLineChars="200" w:firstLine="560"/>
        <w:rPr>
          <w:sz w:val="28"/>
          <w:szCs w:val="28"/>
          <w:lang w:eastAsia="zh-CN" w:val="en-US"/>
          <w:rFonts w:hint="default" w:cs="仿宋_GB2312" w:eastAsia="仿宋_GB2312" w:hAnsi="仿宋_GB2312" w:ascii="仿宋_GB2312"/>
        </w:rPr>
      </w:pPr>
      <w:r>
        <w:rPr>
          <w:sz w:val="28"/>
          <w:szCs w:val="28"/>
          <w:lang w:eastAsia="zh-CN"/>
          <w:rFonts w:hint="eastAsia" w:cs="仿宋_GB2312" w:eastAsia="仿宋_GB2312" w:hAnsi="仿宋_GB2312" w:ascii="仿宋_GB2312"/>
        </w:rPr>
        <w:t>东海社区受托对</w:t>
      </w:r>
      <w:r>
        <w:rPr>
          <w:sz w:val="28"/>
          <w:szCs w:val="28"/>
          <w:lang w:eastAsia="zh-CN" w:val="en-US"/>
          <w:rFonts w:hint="eastAsia" w:cs="仿宋_GB2312" w:eastAsia="仿宋_GB2312" w:hAnsi="仿宋_GB2312" w:ascii="仿宋_GB2312"/>
        </w:rPr>
        <w:t>海伦湾小区外围部分区域进行管理，</w:t>
      </w:r>
      <w:r>
        <w:rPr>
          <w:sz w:val="28"/>
          <w:szCs w:val="28"/>
          <w:rFonts w:hint="eastAsia" w:cs="仿宋_GB2312" w:eastAsia="仿宋_GB2312" w:hAnsi="仿宋_GB2312" w:ascii="仿宋_GB2312"/>
        </w:rPr>
        <w:t>现面</w:t>
      </w:r>
      <w:r>
        <w:rPr>
          <w:sz w:val="28"/>
          <w:szCs w:val="28"/>
          <w:lang w:eastAsia="zh-CN"/>
          <w:rFonts w:hint="eastAsia" w:cs="仿宋_GB2312" w:eastAsia="仿宋_GB2312" w:hAnsi="仿宋_GB2312" w:ascii="仿宋_GB2312"/>
        </w:rPr>
        <w:t>向</w:t>
      </w:r>
      <w:r>
        <w:rPr>
          <w:sz w:val="28"/>
          <w:szCs w:val="28"/>
          <w:rFonts w:hint="eastAsia" w:cs="仿宋_GB2312" w:eastAsia="仿宋_GB2312" w:hAnsi="仿宋_GB2312" w:ascii="仿宋_GB2312"/>
        </w:rPr>
        <w:t>社会进行公开</w:t>
      </w:r>
      <w:r>
        <w:rPr>
          <w:sz w:val="28"/>
          <w:szCs w:val="28"/>
          <w:lang w:eastAsia="zh-CN" w:val="en-US"/>
          <w:rFonts w:hint="eastAsia" w:cs="仿宋_GB2312" w:eastAsia="仿宋_GB2312" w:hAnsi="仿宋_GB2312" w:ascii="仿宋_GB2312"/>
        </w:rPr>
        <w:t>招商合作建设运营</w:t>
      </w:r>
      <w:r>
        <w:rPr>
          <w:sz w:val="28"/>
          <w:szCs w:val="28"/>
          <w:rFonts w:hint="eastAsia" w:cs="仿宋_GB2312" w:eastAsia="仿宋_GB2312" w:hAnsi="仿宋_GB2312" w:ascii="仿宋_GB2312"/>
        </w:rPr>
        <w:t>。</w:t>
      </w:r>
    </w:p>
    <w:p w14:paraId="44DADA6F">
      <w:pPr>
        <w:spacing w:lineRule="auto" w:line="240" w:beforeAutospacing="0" w:afterAutospacing="0"/>
        <w:ind w:firstLineChars="200" w:firstLine="562"/>
        <w:rPr>
          <w:b w:val="1"/>
          <w:bCs w:val="1"/>
          <w:sz w:val="28"/>
          <w:szCs w:val="28"/>
          <w:rFonts w:hint="eastAsia" w:cs="黑体" w:eastAsia="黑体" w:hAnsi="黑体" w:ascii="黑体"/>
        </w:rPr>
      </w:pPr>
      <w:r>
        <w:rPr>
          <w:b w:val="1"/>
          <w:bCs w:val="1"/>
          <w:sz w:val="28"/>
          <w:szCs w:val="28"/>
          <w:rFonts w:hint="eastAsia" w:cs="黑体" w:eastAsia="黑体" w:hAnsi="黑体" w:ascii="黑体"/>
        </w:rPr>
        <w:t>一、</w:t>
      </w:r>
      <w:r>
        <w:rPr>
          <w:b w:val="1"/>
          <w:bCs w:val="1"/>
          <w:sz w:val="28"/>
          <w:szCs w:val="28"/>
          <w:lang w:eastAsia="zh-CN"/>
          <w:rFonts w:hint="eastAsia" w:cs="黑体" w:eastAsia="黑体" w:hAnsi="黑体" w:ascii="黑体"/>
        </w:rPr>
        <w:t>项目</w:t>
      </w:r>
      <w:r>
        <w:rPr>
          <w:b w:val="1"/>
          <w:bCs w:val="1"/>
          <w:sz w:val="28"/>
          <w:szCs w:val="28"/>
          <w:rFonts w:hint="eastAsia" w:cs="黑体" w:eastAsia="黑体" w:hAnsi="黑体" w:ascii="黑体"/>
        </w:rPr>
        <w:t>基本情况</w:t>
      </w:r>
      <w:r>
        <w:rPr>
          <w:b w:val="1"/>
          <w:bCs w:val="1"/>
          <w:sz w:val="28"/>
          <w:szCs w:val="28"/>
          <w:lang w:eastAsia="zh-CN"/>
          <w:rFonts w:hint="eastAsia" w:cs="黑体" w:eastAsia="黑体" w:hAnsi="黑体" w:ascii="黑体"/>
        </w:rPr>
        <w:t>及合作建设要求</w:t>
      </w:r>
      <w:r>
        <w:rPr>
          <w:b w:val="1"/>
          <w:bCs w:val="1"/>
          <w:sz w:val="28"/>
          <w:szCs w:val="28"/>
          <w:rFonts w:hint="eastAsia" w:cs="黑体" w:eastAsia="黑体" w:hAnsi="黑体" w:ascii="黑体"/>
        </w:rPr>
        <w:t>：</w:t>
      </w:r>
    </w:p>
    <w:p w14:paraId="24B707A8">
      <w:pPr>
        <w:ind w:firstLineChars="200" w:firstLine="562"/>
        <w:rPr>
          <w:color w:val="auto"/>
          <w:highlight w:val="none"/>
          <w:sz w:val="28"/>
          <w:szCs w:val="28"/>
          <w:lang w:eastAsia="zh-CN" w:val="en-US"/>
          <w:rFonts w:hint="default" w:cs="仿宋_GB2312" w:eastAsia="仿宋_GB2312" w:hAnsi="仿宋_GB2312" w:ascii="仿宋_GB2312"/>
        </w:rPr>
      </w:pPr>
      <w:r>
        <w:rPr>
          <w:b w:val="1"/>
          <w:bCs w:val="1"/>
          <w:sz w:val="28"/>
          <w:szCs w:val="28"/>
          <w:lang w:eastAsia="zh-CN" w:val="en-US"/>
          <w:rFonts w:hint="eastAsia" w:cs="仿宋_GB2312" w:eastAsia="仿宋_GB2312" w:hAnsi="仿宋_GB2312" w:ascii="仿宋_GB2312"/>
        </w:rPr>
        <w:t>（一）</w:t>
      </w:r>
      <w:r>
        <w:rPr>
          <w:b w:val="1"/>
          <w:bCs w:val="1"/>
          <w:color w:val="auto"/>
          <w:highlight w:val="none"/>
          <w:sz w:val="28"/>
          <w:szCs w:val="28"/>
          <w:lang w:eastAsia="zh-CN"/>
          <w:rFonts w:hint="eastAsia" w:cs="仿宋_GB2312" w:eastAsia="仿宋_GB2312" w:hAnsi="仿宋_GB2312" w:ascii="仿宋_GB2312"/>
        </w:rPr>
        <w:t>海伦湾项目基本情况：</w:t>
      </w:r>
      <w:r>
        <w:rPr>
          <w:sz w:val="28"/>
          <w:szCs w:val="28"/>
          <w:lang w:eastAsia="zh-CN" w:val="en-US"/>
          <w:rFonts w:hint="eastAsia" w:cs="仿宋_GB2312" w:eastAsia="仿宋_GB2312" w:hAnsi="仿宋_GB2312" w:ascii="仿宋_GB2312"/>
        </w:rPr>
        <w:t>该标的位于</w:t>
      </w:r>
      <w:r>
        <w:rPr>
          <w:sz w:val="28"/>
          <w:szCs w:val="28"/>
          <w:lang w:eastAsia="zh-CN"/>
          <w:rFonts w:hint="eastAsia" w:cs="仿宋_GB2312" w:eastAsia="仿宋_GB2312" w:hAnsi="仿宋_GB2312" w:ascii="仿宋_GB2312"/>
        </w:rPr>
        <w:t>东凤镇东堤路</w:t>
      </w:r>
      <w:r>
        <w:rPr>
          <w:sz w:val="28"/>
          <w:szCs w:val="28"/>
          <w:lang w:eastAsia="zh-CN" w:val="en-US"/>
          <w:rFonts w:hint="eastAsia" w:cs="仿宋_GB2312" w:eastAsia="仿宋_GB2312" w:hAnsi="仿宋_GB2312" w:ascii="仿宋_GB2312"/>
        </w:rPr>
        <w:t>6</w:t>
      </w:r>
      <w:r>
        <w:rPr>
          <w:sz w:val="28"/>
          <w:szCs w:val="28"/>
          <w:lang w:eastAsia="zh-CN"/>
          <w:rFonts w:hint="eastAsia" w:cs="仿宋_GB2312" w:eastAsia="仿宋_GB2312" w:hAnsi="仿宋_GB2312" w:ascii="仿宋_GB2312"/>
        </w:rPr>
        <w:t>8号外，</w:t>
      </w:r>
      <w:r>
        <w:rPr>
          <w:sz w:val="28"/>
          <w:szCs w:val="28"/>
          <w:lang w:eastAsia="zh-CN" w:val="en-US"/>
          <w:rFonts w:hint="eastAsia" w:cs="仿宋_GB2312" w:eastAsia="仿宋_GB2312" w:hAnsi="仿宋_GB2312" w:ascii="仿宋_GB2312"/>
        </w:rPr>
        <w:t>从沙口大桥底起至凤巢湾项目用地的</w:t>
      </w:r>
      <w:r>
        <w:rPr>
          <w:sz w:val="28"/>
          <w:szCs w:val="28"/>
          <w:lang w:eastAsia="zh-CN"/>
          <w:rFonts w:hint="eastAsia" w:cs="仿宋_GB2312" w:eastAsia="仿宋_GB2312" w:hAnsi="仿宋_GB2312" w:ascii="仿宋_GB2312"/>
        </w:rPr>
        <w:t>市政路（海旁公园大堤侧）约</w:t>
      </w:r>
      <w:r>
        <w:rPr>
          <w:sz w:val="28"/>
          <w:szCs w:val="28"/>
          <w:lang w:eastAsia="zh-CN" w:val="en-US"/>
          <w:rFonts w:hint="eastAsia" w:cs="仿宋_GB2312" w:eastAsia="仿宋_GB2312" w:hAnsi="仿宋_GB2312" w:ascii="仿宋_GB2312"/>
        </w:rPr>
        <w:t>149个停车位（以实际可用为准）。根据百度地图测距，项目用地（单边）长约680米，宽约6米</w:t>
      </w:r>
      <w:r>
        <w:rPr>
          <w:color w:val="auto"/>
          <w:highlight w:val="none"/>
          <w:sz w:val="28"/>
          <w:szCs w:val="28"/>
          <w:lang w:eastAsia="zh-CN" w:val="en-US"/>
          <w:rFonts w:hint="eastAsia" w:cs="仿宋_GB2312" w:eastAsia="仿宋_GB2312" w:hAnsi="仿宋_GB2312" w:ascii="仿宋_GB2312"/>
        </w:rPr>
        <w:t>。</w:t>
      </w:r>
    </w:p>
    <w:p w14:paraId="75BE5499">
      <w:pPr>
        <w:ind w:firstLineChars="200" w:firstLine="562"/>
        <w:rPr>
          <w:b w:val="1"/>
          <w:bCs w:val="1"/>
          <w:sz w:val="28"/>
          <w:szCs w:val="28"/>
          <w:lang w:eastAsia="zh-CN" w:val="en-US"/>
          <w:rFonts w:hint="eastAsia" w:cs="仿宋_GB2312" w:eastAsia="仿宋_GB2312" w:hAnsi="仿宋_GB2312" w:ascii="仿宋_GB2312"/>
        </w:rPr>
      </w:pPr>
      <w:r>
        <w:rPr>
          <w:b w:val="1"/>
          <w:bCs w:val="1"/>
          <w:sz w:val="28"/>
          <w:szCs w:val="28"/>
          <w:lang w:eastAsia="zh-CN" w:val="en-US"/>
          <w:rFonts w:hint="eastAsia" w:cs="仿宋_GB2312" w:eastAsia="仿宋_GB2312" w:hAnsi="仿宋_GB2312" w:ascii="仿宋_GB2312"/>
        </w:rPr>
        <w:t>（二）</w:t>
      </w:r>
      <w:r>
        <w:rPr>
          <w:b w:val="1"/>
          <w:bCs w:val="1"/>
          <w:sz w:val="28"/>
          <w:szCs w:val="28"/>
          <w:lang w:eastAsia="zh-CN"/>
          <w:rFonts w:hint="eastAsia" w:cs="仿宋_GB2312" w:eastAsia="仿宋_GB2312" w:hAnsi="仿宋_GB2312" w:ascii="仿宋_GB2312"/>
        </w:rPr>
        <w:t>合作建设要求：</w:t>
      </w:r>
    </w:p>
    <w:p w14:paraId="5B4AF65C">
      <w:pPr>
        <w:spacing w:lineRule="auto" w:line="240" w:beforeAutospacing="0" w:afterAutospacing="0"/>
        <w:ind w:firstLineChars="200" w:firstLine="560"/>
        <w:rPr>
          <w:color w:val="auto"/>
          <w:highlight w:val="none"/>
          <w:sz w:val="28"/>
          <w:szCs w:val="28"/>
          <w:lang w:eastAsia="zh-CN"/>
          <w:rFonts w:hint="eastAsia" w:cs="仿宋_GB2312" w:eastAsia="仿宋" w:hAnsi="仿宋_GB2312" w:ascii="仿宋_GB2312"/>
        </w:rPr>
      </w:pPr>
      <w:r>
        <w:rPr>
          <w:color w:val="auto"/>
          <w:highlight w:val="none"/>
          <w:sz w:val="28"/>
          <w:szCs w:val="28"/>
          <w:lang w:eastAsia="zh-CN" w:val="en-US"/>
          <w:rFonts w:hint="eastAsia" w:cs="仿宋_GB2312" w:eastAsia="仿宋_GB2312" w:hAnsi="仿宋_GB2312" w:ascii="仿宋_GB2312"/>
        </w:rPr>
        <w:t>1</w:t>
      </w:r>
      <w:r>
        <w:rPr>
          <w:color w:val="auto"/>
          <w:highlight w:val="none"/>
          <w:sz w:val="28"/>
          <w:szCs w:val="28"/>
          <w:rFonts w:hint="eastAsia" w:cs="仿宋_GB2312" w:eastAsia="仿宋_GB2312" w:hAnsi="仿宋_GB2312" w:ascii="仿宋_GB2312"/>
        </w:rPr>
        <w:t>、</w:t>
      </w:r>
      <w:r>
        <w:rPr>
          <w:color w:val="auto"/>
          <w:highlight w:val="none"/>
          <w:sz w:val="28"/>
          <w:szCs w:val="28"/>
          <w:lang w:eastAsia="zh-CN" w:val="en-US"/>
          <w:rFonts w:hint="eastAsia" w:cs="仿宋_GB2312" w:eastAsia="仿宋_GB2312" w:hAnsi="仿宋_GB2312" w:ascii="仿宋_GB2312"/>
        </w:rPr>
        <w:t>建设要求</w:t>
      </w:r>
      <w:r>
        <w:rPr>
          <w:color w:val="auto"/>
          <w:highlight w:val="none"/>
          <w:sz w:val="28"/>
          <w:szCs w:val="28"/>
          <w:rFonts w:hint="eastAsia" w:cs="仿宋_GB2312" w:eastAsia="仿宋_GB2312" w:hAnsi="仿宋_GB2312" w:ascii="仿宋_GB2312"/>
        </w:rPr>
        <w:t>：</w:t>
      </w:r>
      <w:r>
        <w:rPr>
          <w:sz w:val="28"/>
          <w:szCs w:val="28"/>
          <w:lang w:eastAsia="zh-CN"/>
          <w:rFonts w:hint="eastAsia" w:cs="仿宋_GB2312" w:eastAsia="仿宋_GB2312" w:hAnsi="仿宋_GB2312" w:ascii="仿宋_GB2312"/>
        </w:rPr>
        <w:t>成功招商签订合同后立即开始建设，合作方承担所有</w:t>
      </w:r>
      <w:r>
        <w:rPr>
          <w:color w:val="auto"/>
          <w:highlight w:val="none"/>
          <w:sz w:val="28"/>
          <w:szCs w:val="28"/>
          <w:lang w:eastAsia="zh-CN"/>
          <w:rFonts w:hint="eastAsia" w:cs="仿宋_GB2312" w:eastAsia="仿宋_GB2312" w:hAnsi="仿宋_GB2312" w:ascii="仿宋_GB2312"/>
        </w:rPr>
        <w:t>建设费用。</w:t>
      </w:r>
      <w:r>
        <w:rPr>
          <w:color w:val="auto"/>
          <w:highlight w:val="none"/>
          <w:sz w:val="28"/>
          <w:szCs w:val="28"/>
          <w:lang w:eastAsia="zh-CN" w:val="en-US"/>
          <w:rFonts w:hint="eastAsia" w:cs="仿宋" w:eastAsia="仿宋" w:hAnsi="仿宋" w:ascii="仿宋"/>
        </w:rPr>
        <w:t>由于该区域有市政道路横穿，不适宜设置道闸进行围蔽管理，须采用</w:t>
      </w:r>
      <w:r>
        <w:rPr>
          <w:color w:val="FF0000"/>
          <w:highlight w:val="none"/>
          <w:sz w:val="28"/>
          <w:szCs w:val="28"/>
          <w:lang w:eastAsia="zh-CN" w:val="en-US"/>
          <w:rFonts w:hint="eastAsia" w:cs="仿宋" w:eastAsia="仿宋" w:hAnsi="仿宋" w:ascii="仿宋"/>
        </w:rPr>
        <w:t>智能地锁或人员现场值守管理</w:t>
      </w:r>
      <w:r>
        <w:rPr>
          <w:color w:val="auto"/>
          <w:highlight w:val="none"/>
          <w:sz w:val="28"/>
          <w:szCs w:val="28"/>
          <w:lang w:eastAsia="zh-CN" w:val="en-US"/>
          <w:rFonts w:hint="eastAsia" w:cs="仿宋" w:eastAsia="仿宋" w:hAnsi="仿宋" w:ascii="仿宋"/>
        </w:rPr>
        <w:t>，并且需要对车位编号、接入收费系统、加建监控设备、加装收费公示牌，配备消防、安全生产器材等；同时，要做好停车区域环境卫生保洁、场地设施维护，涉停车位问题投诉等</w:t>
      </w:r>
      <w:r>
        <w:rPr>
          <w:color w:val="auto"/>
          <w:highlight w:val="none"/>
          <w:sz w:val="28"/>
          <w:szCs w:val="28"/>
          <w:lang w:eastAsia="zh-CN"/>
          <w:rFonts w:hint="eastAsia" w:cs="仿宋_GB2312" w:eastAsia="仿宋_GB2312" w:hAnsi="仿宋_GB2312" w:ascii="仿宋_GB2312"/>
        </w:rPr>
        <w:t>。</w:t>
      </w:r>
    </w:p>
    <w:p w14:paraId="5F64A466">
      <w:pPr>
        <w:spacing w:lineRule="auto" w:line="240" w:beforeAutospacing="0" w:afterAutospacing="0"/>
        <w:ind w:firstLineChars="200" w:firstLine="560"/>
        <w:rPr>
          <w:color w:val="auto"/>
          <w:highlight w:val="none"/>
          <w:sz w:val="28"/>
          <w:szCs w:val="28"/>
          <w:lang w:eastAsia="zh-CN" w:val="en-US"/>
          <w:rFonts w:hint="eastAsia" w:cs="仿宋_GB2312" w:eastAsia="仿宋_GB2312" w:hAnsi="仿宋_GB2312" w:ascii="仿宋_GB2312"/>
        </w:rPr>
      </w:pPr>
      <w:bookmarkStart w:name="_GoBack" w:id="0"/>
      <w:bookmarkEnd w:id="0"/>
      <w:r>
        <w:rPr>
          <w:color w:val="auto"/>
          <w:highlight w:val="none"/>
          <w:sz w:val="28"/>
          <w:szCs w:val="28"/>
          <w:lang w:eastAsia="zh-CN" w:val="en-US"/>
          <w:rFonts w:hint="eastAsia" w:cs="仿宋_GB2312" w:eastAsia="仿宋_GB2312" w:hAnsi="仿宋_GB2312" w:ascii="仿宋_GB2312"/>
        </w:rPr>
        <w:t>2、</w:t>
      </w:r>
      <w:r>
        <w:rPr>
          <w:color w:val="auto"/>
          <w:highlight w:val="none"/>
          <w:sz w:val="28"/>
          <w:szCs w:val="28"/>
          <w:lang w:eastAsia="zh-CN" w:val="en-US"/>
          <w:rFonts w:hint="eastAsia" w:cs="仿宋" w:eastAsia="仿宋" w:hAnsi="仿宋" w:ascii="仿宋"/>
        </w:rPr>
        <w:t>其他要求：</w:t>
      </w:r>
      <w:r>
        <w:rPr>
          <w:color w:val="auto"/>
          <w:highlight w:val="none"/>
          <w:sz w:val="28"/>
          <w:szCs w:val="28"/>
          <w:lang w:eastAsia="zh-CN"/>
          <w:rFonts w:hint="eastAsia" w:cs="仿宋_GB2312" w:eastAsia="仿宋_GB2312" w:hAnsi="仿宋_GB2312" w:ascii="仿宋_GB2312"/>
        </w:rPr>
        <w:t>签订合同后，承租方须立即对海旁公园路面、护栏、照明、座椅等破损修复，绿化缺失补种</w:t>
      </w:r>
      <w:r>
        <w:rPr>
          <w:color w:val="FF0000"/>
          <w:highlight w:val="none"/>
          <w:sz w:val="28"/>
          <w:szCs w:val="28"/>
          <w:lang w:eastAsia="zh-CN"/>
          <w:rFonts w:hint="eastAsia" w:cs="仿宋_GB2312" w:eastAsia="仿宋_GB2312" w:hAnsi="仿宋_GB2312" w:ascii="仿宋_GB2312"/>
        </w:rPr>
        <w:t>并在合同期间内全面加强海旁公园的管理维护，切实提升整个海旁公园档次</w:t>
      </w:r>
      <w:r>
        <w:rPr>
          <w:color w:val="auto"/>
          <w:highlight w:val="none"/>
          <w:sz w:val="28"/>
          <w:szCs w:val="28"/>
          <w:lang w:eastAsia="zh-CN"/>
          <w:rFonts w:hint="eastAsia" w:cs="仿宋_GB2312" w:eastAsia="仿宋_GB2312" w:hAnsi="仿宋_GB2312" w:ascii="仿宋_GB2312"/>
        </w:rPr>
        <w:t>。</w:t>
      </w:r>
      <w:r>
        <w:rPr>
          <w:color w:val="auto"/>
          <w:highlight w:val="none"/>
          <w:sz w:val="28"/>
          <w:szCs w:val="28"/>
          <w:lang w:eastAsia="zh-CN" w:val="en-US"/>
          <w:rFonts w:hint="eastAsia" w:cs="仿宋" w:eastAsia="仿宋" w:hAnsi="仿宋" w:ascii="仿宋"/>
        </w:rPr>
        <w:t>承租期内，承租方（可委托所在小区物业）须对海伦湾外整个海旁公园、小区与海旁公园之间的市政道路及</w:t>
      </w:r>
      <w:r>
        <w:rPr>
          <w:color w:val="FF0000"/>
          <w:highlight w:val="none"/>
          <w:sz w:val="28"/>
          <w:szCs w:val="28"/>
          <w:lang w:eastAsia="zh-CN" w:val="en-US"/>
          <w:rFonts w:hint="eastAsia" w:cs="仿宋" w:eastAsia="仿宋" w:hAnsi="仿宋" w:ascii="仿宋"/>
        </w:rPr>
        <w:t>所运营</w:t>
      </w:r>
      <w:r>
        <w:rPr>
          <w:color w:val="auto"/>
          <w:highlight w:val="none"/>
          <w:sz w:val="28"/>
          <w:szCs w:val="28"/>
          <w:lang w:eastAsia="zh-CN" w:val="en-US"/>
          <w:rFonts w:hint="eastAsia" w:cs="仿宋" w:eastAsia="仿宋" w:hAnsi="仿宋" w:ascii="仿宋"/>
        </w:rPr>
        <w:t>车位的环境卫生保洁、绿化、公共秩序和设施设备等进行常态化管养维护。</w:t>
      </w:r>
    </w:p>
    <w:p w14:paraId="309284A3">
      <w:pPr>
        <w:spacing w:lineRule="auto" w:line="240" w:beforeAutospacing="0" w:afterAutospacing="0"/>
        <w:ind w:firstLineChars="200" w:firstLine="560"/>
        <w:rPr>
          <w:color w:val="auto"/>
          <w:highlight w:val="none"/>
          <w:sz w:val="28"/>
          <w:szCs w:val="28"/>
          <w:lang w:eastAsia="zh-CN" w:val="en-US"/>
          <w:rFonts w:hint="eastAsia" w:cs="仿宋_GB2312" w:eastAsia="仿宋_GB2312" w:hAnsi="仿宋_GB2312" w:ascii="仿宋_GB2312"/>
        </w:rPr>
      </w:pPr>
      <w:r>
        <w:rPr>
          <w:color w:val="auto"/>
          <w:highlight w:val="none"/>
          <w:sz w:val="28"/>
          <w:szCs w:val="28"/>
          <w:lang w:eastAsia="zh-CN" w:val="en-US"/>
          <w:rFonts w:hint="eastAsia" w:cs="仿宋_GB2312" w:eastAsia="仿宋_GB2312" w:hAnsi="仿宋_GB2312" w:ascii="仿宋_GB2312"/>
        </w:rPr>
        <w:t>3、合作期限：</w:t>
      </w:r>
      <w:r>
        <w:rPr>
          <w:color w:val="FF0000"/>
          <w:highlight w:val="none"/>
          <w:sz w:val="28"/>
          <w:szCs w:val="28"/>
          <w:lang w:eastAsia="zh-CN" w:val="en-US"/>
          <w:rFonts w:hint="eastAsia" w:cs="仿宋_GB2312" w:eastAsia="仿宋_GB2312" w:hAnsi="仿宋_GB2312" w:ascii="仿宋_GB2312"/>
        </w:rPr>
        <w:t>15</w:t>
      </w:r>
      <w:r>
        <w:rPr>
          <w:color w:val="auto"/>
          <w:highlight w:val="none"/>
          <w:sz w:val="28"/>
          <w:szCs w:val="28"/>
          <w:lang w:eastAsia="zh-CN" w:val="en-US"/>
          <w:rFonts w:hint="eastAsia" w:cs="仿宋_GB2312" w:eastAsia="仿宋_GB2312" w:hAnsi="仿宋_GB2312" w:ascii="仿宋_GB2312"/>
        </w:rPr>
        <w:t>年。</w:t>
      </w:r>
    </w:p>
    <w:p w14:paraId="5C2AF795">
      <w:pPr>
        <w:spacing w:lineRule="auto" w:line="240" w:beforeAutospacing="0" w:afterAutospacing="0"/>
        <w:ind w:firstLineChars="200" w:firstLine="560"/>
        <w:rPr>
          <w:color w:val="auto"/>
          <w:highlight w:val="none"/>
          <w:sz w:val="28"/>
          <w:szCs w:val="28"/>
          <w:lang w:eastAsia="zh-CN" w:val="en-US"/>
          <w:rFonts w:hint="default" w:cs="仿宋_GB2312" w:eastAsia="仿宋_GB2312" w:hAnsi="仿宋_GB2312" w:ascii="仿宋_GB2312"/>
        </w:rPr>
      </w:pPr>
      <w:r>
        <w:rPr>
          <w:color w:val="auto"/>
          <w:highlight w:val="none"/>
          <w:sz w:val="28"/>
          <w:szCs w:val="28"/>
          <w:lang w:eastAsia="zh-CN" w:val="en-US"/>
          <w:rFonts w:hint="eastAsia" w:cs="仿宋_GB2312" w:eastAsia="仿宋_GB2312" w:hAnsi="仿宋_GB2312" w:ascii="仿宋_GB2312"/>
        </w:rPr>
        <w:t>4</w:t>
      </w:r>
      <w:r>
        <w:rPr>
          <w:color w:val="auto"/>
          <w:highlight w:val="none"/>
          <w:sz w:val="28"/>
          <w:szCs w:val="28"/>
          <w:rFonts w:hint="eastAsia" w:cs="仿宋_GB2312" w:eastAsia="仿宋_GB2312" w:hAnsi="仿宋_GB2312" w:ascii="仿宋_GB2312"/>
        </w:rPr>
        <w:t>、</w:t>
      </w:r>
      <w:r>
        <w:rPr>
          <w:color w:val="auto"/>
          <w:highlight w:val="none"/>
          <w:sz w:val="28"/>
          <w:szCs w:val="28"/>
          <w:lang w:eastAsia="zh-CN" w:val="en-US"/>
          <w:rFonts w:hint="eastAsia" w:cs="仿宋_GB2312" w:eastAsia="仿宋_GB2312" w:hAnsi="仿宋_GB2312" w:ascii="仿宋_GB2312"/>
        </w:rPr>
        <w:t>合作租金底价：15000元/月，</w:t>
      </w:r>
      <w:r>
        <w:rPr>
          <w:color w:val="FF0000"/>
          <w:highlight w:val="none"/>
          <w:sz w:val="28"/>
          <w:szCs w:val="28"/>
          <w:lang w:eastAsia="zh-CN" w:val="en-US"/>
          <w:rFonts w:hint="eastAsia" w:cs="仿宋_GB2312" w:eastAsia="仿宋_GB2312" w:hAnsi="仿宋_GB2312" w:ascii="仿宋_GB2312"/>
        </w:rPr>
        <w:t>每三年为一期，每期递增10%（第一期按投标底价计租）</w:t>
      </w:r>
      <w:r>
        <w:rPr>
          <w:color w:val="auto"/>
          <w:highlight w:val="none"/>
          <w:sz w:val="28"/>
          <w:szCs w:val="28"/>
          <w:lang w:eastAsia="zh-CN" w:val="en-US"/>
          <w:rFonts w:hint="eastAsia" w:cs="仿宋_GB2312" w:eastAsia="仿宋_GB2312" w:hAnsi="仿宋_GB2312" w:ascii="仿宋_GB2312"/>
        </w:rPr>
        <w:t>。其中，</w:t>
      </w:r>
      <w:r>
        <w:rPr>
          <w:color w:val="FF0000"/>
          <w:highlight w:val="none"/>
          <w:sz w:val="28"/>
          <w:szCs w:val="28"/>
          <w:lang w:eastAsia="zh-CN" w:val="en-US"/>
          <w:rFonts w:hint="eastAsia" w:cs="仿宋_GB2312" w:eastAsia="仿宋_GB2312" w:hAnsi="仿宋_GB2312" w:ascii="仿宋_GB2312"/>
        </w:rPr>
        <w:t>出租方将月租金的30%</w:t>
      </w:r>
      <w:r>
        <w:rPr>
          <w:color w:val="auto"/>
          <w:highlight w:val="none"/>
          <w:sz w:val="28"/>
          <w:szCs w:val="28"/>
          <w:lang w:eastAsia="zh-CN" w:val="en-US"/>
          <w:rFonts w:hint="eastAsia" w:cs="仿宋_GB2312" w:eastAsia="仿宋_GB2312" w:hAnsi="仿宋_GB2312" w:ascii="仿宋_GB2312"/>
        </w:rPr>
        <w:t>作为上述第2点的设施维护</w:t>
      </w:r>
      <w:r>
        <w:rPr>
          <w:color w:val="FF0000"/>
          <w:highlight w:val="none"/>
          <w:sz w:val="28"/>
          <w:szCs w:val="28"/>
          <w:lang w:eastAsia="zh-CN" w:val="en-US"/>
          <w:rFonts w:hint="eastAsia" w:cs="仿宋_GB2312" w:eastAsia="仿宋_GB2312" w:hAnsi="仿宋_GB2312" w:ascii="仿宋_GB2312"/>
        </w:rPr>
        <w:t>和日常管养</w:t>
      </w:r>
      <w:r>
        <w:rPr>
          <w:color w:val="auto"/>
          <w:highlight w:val="none"/>
          <w:sz w:val="28"/>
          <w:szCs w:val="28"/>
          <w:lang w:eastAsia="zh-CN" w:val="en-US"/>
          <w:rFonts w:hint="eastAsia" w:cs="仿宋_GB2312" w:eastAsia="仿宋_GB2312" w:hAnsi="仿宋_GB2312" w:ascii="仿宋_GB2312"/>
        </w:rPr>
        <w:t>费，</w:t>
      </w:r>
      <w:r>
        <w:rPr>
          <w:color w:val="FF0000"/>
          <w:highlight w:val="none"/>
          <w:sz w:val="28"/>
          <w:szCs w:val="28"/>
          <w:lang w:eastAsia="zh-CN" w:val="en-US"/>
          <w:rFonts w:hint="eastAsia" w:cs="仿宋_GB2312" w:eastAsia="仿宋_GB2312" w:hAnsi="仿宋_GB2312" w:ascii="仿宋_GB2312"/>
        </w:rPr>
        <w:t>委托承租方直接拨付给</w:t>
      </w:r>
      <w:r>
        <w:rPr>
          <w:color w:val="auto"/>
          <w:highlight w:val="none"/>
          <w:sz w:val="28"/>
          <w:szCs w:val="28"/>
          <w:lang w:eastAsia="zh-CN" w:val="en-US"/>
          <w:rFonts w:hint="eastAsia" w:cs="仿宋_GB2312" w:eastAsia="仿宋_GB2312" w:hAnsi="仿宋_GB2312" w:ascii="仿宋_GB2312"/>
        </w:rPr>
        <w:t>第三方管养单位，并签订三方协议监管；</w:t>
      </w:r>
      <w:r>
        <w:rPr>
          <w:b w:val="1"/>
          <w:bCs w:val="1"/>
          <w:color w:val="FF0000"/>
          <w:highlight w:val="none"/>
          <w:sz w:val="28"/>
          <w:szCs w:val="28"/>
          <w:lang w:eastAsia="zh-CN" w:val="en-US"/>
          <w:rFonts w:hint="eastAsia" w:cs="仿宋_GB2312" w:eastAsia="仿宋_GB2312" w:hAnsi="仿宋_GB2312" w:ascii="仿宋_GB2312"/>
        </w:rPr>
        <w:t>即承租方只须按中标价分别向出租方、第三方管养单位按70%、30%的比例支付项目租金</w:t>
      </w:r>
      <w:r>
        <w:rPr>
          <w:color w:val="auto"/>
          <w:highlight w:val="none"/>
          <w:sz w:val="28"/>
          <w:szCs w:val="28"/>
          <w:lang w:eastAsia="zh-CN" w:val="en-US"/>
          <w:rFonts w:hint="eastAsia" w:cs="仿宋_GB2312" w:eastAsia="仿宋_GB2312" w:hAnsi="仿宋_GB2312" w:ascii="仿宋_GB2312"/>
        </w:rPr>
        <w:t>。</w:t>
      </w:r>
    </w:p>
    <w:p w14:paraId="4A788483">
      <w:pPr>
        <w:ind w:firstLineChars="200" w:firstLine="560"/>
        <w:rPr>
          <w:b w:val="0"/>
          <w:bCs w:val="0"/>
          <w:color w:val="auto"/>
          <w:highlight w:val="none"/>
          <w:sz w:val="28"/>
          <w:szCs w:val="28"/>
          <w:lang w:eastAsia="zh-CN"/>
          <w:rFonts w:hint="eastAsia" w:cs="仿宋_GB2312" w:eastAsia="仿宋_GB2312" w:hAnsi="仿宋_GB2312" w:ascii="仿宋_GB2312"/>
        </w:rPr>
      </w:pPr>
      <w:r>
        <w:rPr>
          <w:color w:val="auto"/>
          <w:highlight w:val="none"/>
          <w:sz w:val="28"/>
          <w:szCs w:val="28"/>
          <w:lang w:eastAsia="zh-CN" w:val="en-US"/>
          <w:rFonts w:hint="eastAsia" w:cs="仿宋_GB2312" w:eastAsia="仿宋_GB2312" w:hAnsi="仿宋_GB2312" w:ascii="仿宋_GB2312"/>
        </w:rPr>
        <w:t>5</w:t>
      </w:r>
      <w:r>
        <w:rPr>
          <w:color w:val="auto"/>
          <w:highlight w:val="none"/>
          <w:sz w:val="28"/>
          <w:szCs w:val="28"/>
          <w:rFonts w:hint="eastAsia" w:cs="仿宋_GB2312" w:eastAsia="仿宋_GB2312" w:hAnsi="仿宋_GB2312" w:ascii="仿宋_GB2312"/>
        </w:rPr>
        <w:t>、租金缴纳方式：</w:t>
      </w:r>
      <w:r>
        <w:rPr>
          <w:b w:val="0"/>
          <w:bCs w:val="0"/>
          <w:color w:val="auto"/>
          <w:highlight w:val="none"/>
          <w:sz w:val="28"/>
          <w:szCs w:val="28"/>
          <w:rFonts w:hint="eastAsia" w:cs="仿宋_GB2312" w:eastAsia="仿宋_GB2312" w:hAnsi="仿宋_GB2312" w:ascii="仿宋_GB2312"/>
        </w:rPr>
        <w:t>非税收入，系统自动生成非税收入一般缴款书，</w:t>
      </w:r>
      <w:r>
        <w:rPr>
          <w:b w:val="0"/>
          <w:bCs w:val="0"/>
          <w:color w:val="auto"/>
          <w:highlight w:val="none"/>
          <w:sz w:val="28"/>
          <w:szCs w:val="28"/>
          <w:lang w:eastAsia="zh-CN"/>
          <w:rFonts w:hint="eastAsia" w:cs="仿宋_GB2312" w:eastAsia="仿宋_GB2312" w:hAnsi="仿宋_GB2312" w:ascii="仿宋_GB2312"/>
        </w:rPr>
        <w:t>每季度</w:t>
      </w:r>
      <w:r>
        <w:rPr>
          <w:b w:val="0"/>
          <w:bCs w:val="0"/>
          <w:color w:val="auto"/>
          <w:highlight w:val="none"/>
          <w:sz w:val="28"/>
          <w:szCs w:val="28"/>
          <w:rFonts w:hint="eastAsia" w:cs="仿宋_GB2312" w:eastAsia="仿宋_GB2312" w:hAnsi="仿宋_GB2312" w:ascii="仿宋_GB2312"/>
        </w:rPr>
        <w:t>支付</w:t>
      </w:r>
      <w:r>
        <w:rPr>
          <w:b w:val="0"/>
          <w:bCs w:val="0"/>
          <w:color w:val="auto"/>
          <w:highlight w:val="none"/>
          <w:sz w:val="28"/>
          <w:szCs w:val="28"/>
          <w:lang w:eastAsia="zh-CN"/>
          <w:rFonts w:hint="eastAsia" w:cs="仿宋_GB2312" w:eastAsia="仿宋_GB2312" w:hAnsi="仿宋_GB2312" w:ascii="仿宋_GB2312"/>
        </w:rPr>
        <w:t>一次</w:t>
      </w:r>
      <w:r>
        <w:rPr>
          <w:b w:val="0"/>
          <w:bCs w:val="0"/>
          <w:color w:val="auto"/>
          <w:highlight w:val="none"/>
          <w:sz w:val="28"/>
          <w:szCs w:val="28"/>
          <w:rFonts w:hint="eastAsia" w:cs="仿宋_GB2312" w:eastAsia="仿宋_GB2312" w:hAnsi="仿宋_GB2312" w:ascii="仿宋_GB2312"/>
        </w:rPr>
        <w:t>租金</w:t>
      </w:r>
      <w:r>
        <w:rPr>
          <w:b w:val="0"/>
          <w:bCs w:val="0"/>
          <w:color w:val="auto"/>
          <w:highlight w:val="none"/>
          <w:sz w:val="28"/>
          <w:szCs w:val="28"/>
          <w:lang w:eastAsia="zh-CN"/>
          <w:rFonts w:hint="eastAsia" w:cs="仿宋_GB2312" w:eastAsia="仿宋_GB2312" w:hAnsi="仿宋_GB2312" w:ascii="仿宋_GB2312"/>
        </w:rPr>
        <w:t>；</w:t>
      </w:r>
    </w:p>
    <w:p w14:paraId="46A0C7FD">
      <w:pPr>
        <w:ind w:firstLineChars="200" w:firstLine="560"/>
        <w:rPr>
          <w:color w:val="auto"/>
          <w:highlight w:val="none"/>
          <w:sz w:val="28"/>
          <w:szCs w:val="28"/>
          <w:rFonts w:hint="eastAsia" w:cs="仿宋_GB2312" w:eastAsia="仿宋_GB2312" w:hAnsi="仿宋_GB2312" w:ascii="仿宋_GB2312"/>
        </w:rPr>
      </w:pPr>
      <w:r>
        <w:rPr>
          <w:color w:val="auto"/>
          <w:highlight w:val="none"/>
          <w:sz w:val="28"/>
          <w:szCs w:val="28"/>
          <w:lang w:eastAsia="zh-CN" w:val="en-US"/>
          <w:rFonts w:hint="eastAsia" w:cs="仿宋_GB2312" w:eastAsia="仿宋_GB2312" w:hAnsi="仿宋_GB2312" w:ascii="仿宋_GB2312"/>
        </w:rPr>
        <w:t>6、</w:t>
      </w:r>
      <w:r>
        <w:rPr>
          <w:color w:val="auto"/>
          <w:highlight w:val="none"/>
          <w:sz w:val="28"/>
          <w:szCs w:val="28"/>
          <w:rFonts w:hint="eastAsia" w:cs="仿宋_GB2312" w:eastAsia="仿宋_GB2312" w:hAnsi="仿宋_GB2312" w:ascii="仿宋_GB2312"/>
        </w:rPr>
        <w:t>计租时间：</w:t>
      </w:r>
      <w:r>
        <w:rPr>
          <w:b w:val="0"/>
          <w:bCs w:val="0"/>
          <w:color w:val="auto"/>
          <w:highlight w:val="none"/>
          <w:sz w:val="28"/>
          <w:szCs w:val="28"/>
          <w:lang w:eastAsia="zh-CN" w:val="en-US"/>
          <w:rFonts w:hint="eastAsia" w:cs="仿宋_GB2312" w:eastAsia="仿宋_GB2312" w:hAnsi="仿宋_GB2312" w:ascii="仿宋_GB2312"/>
        </w:rPr>
        <w:t>免租期</w:t>
      </w:r>
      <w:r>
        <w:rPr>
          <w:b w:val="0"/>
          <w:bCs w:val="0"/>
          <w:color w:val="FF0000"/>
          <w:highlight w:val="none"/>
          <w:sz w:val="28"/>
          <w:szCs w:val="28"/>
          <w:lang w:eastAsia="zh-CN" w:val="en-US"/>
          <w:rFonts w:hint="eastAsia" w:cs="仿宋_GB2312" w:eastAsia="仿宋_GB2312" w:hAnsi="仿宋_GB2312" w:ascii="仿宋_GB2312"/>
        </w:rPr>
        <w:t>4</w:t>
      </w:r>
      <w:r>
        <w:rPr>
          <w:b w:val="0"/>
          <w:bCs w:val="0"/>
          <w:color w:val="auto"/>
          <w:highlight w:val="none"/>
          <w:sz w:val="28"/>
          <w:szCs w:val="28"/>
          <w:lang w:eastAsia="zh-CN" w:val="en-US"/>
          <w:rFonts w:hint="eastAsia" w:cs="仿宋_GB2312" w:eastAsia="仿宋_GB2312" w:hAnsi="仿宋_GB2312" w:ascii="仿宋_GB2312"/>
        </w:rPr>
        <w:t>个月</w:t>
      </w:r>
      <w:r>
        <w:rPr>
          <w:color w:val="auto"/>
          <w:highlight w:val="none"/>
          <w:sz w:val="28"/>
          <w:szCs w:val="28"/>
          <w:rFonts w:hint="eastAsia" w:cs="仿宋_GB2312" w:eastAsia="仿宋_GB2312" w:hAnsi="仿宋_GB2312" w:ascii="仿宋_GB2312"/>
        </w:rPr>
        <w:t>。</w:t>
      </w:r>
    </w:p>
    <w:p w14:paraId="08411BE5">
      <w:pPr>
        <w:ind w:firstLineChars="200" w:firstLine="560"/>
        <w:rPr>
          <w:color w:val="auto"/>
          <w:highlight w:val="none"/>
          <w:sz w:val="28"/>
          <w:szCs w:val="28"/>
          <w:lang w:eastAsia="zh-CN"/>
          <w:rFonts w:hint="eastAsia" w:cs="仿宋_GB2312" w:eastAsia="仿宋_GB2312" w:hAnsi="仿宋_GB2312" w:ascii="仿宋_GB2312"/>
        </w:rPr>
      </w:pPr>
      <w:r>
        <w:rPr>
          <w:color w:val="auto"/>
          <w:highlight w:val="none"/>
          <w:sz w:val="28"/>
          <w:szCs w:val="28"/>
          <w:lang w:eastAsia="zh-CN" w:val="en-US"/>
          <w:rFonts w:hint="eastAsia" w:cs="仿宋_GB2312" w:eastAsia="仿宋_GB2312" w:hAnsi="仿宋_GB2312" w:ascii="仿宋_GB2312"/>
        </w:rPr>
        <w:t>7、</w:t>
      </w:r>
      <w:r>
        <w:rPr>
          <w:color w:val="auto"/>
          <w:highlight w:val="none"/>
          <w:sz w:val="28"/>
          <w:szCs w:val="28"/>
          <w:lang w:eastAsia="zh-CN"/>
          <w:rFonts w:hint="eastAsia" w:cs="仿宋_GB2312" w:eastAsia="仿宋_GB2312" w:hAnsi="仿宋_GB2312" w:ascii="仿宋_GB2312"/>
        </w:rPr>
        <w:t>智慧停车场收费指导价：</w:t>
      </w:r>
    </w:p>
    <w:tbl>
      <w:tblPr>
        <w:tblStyle w:val="6"/>
        <w:tblW w:type="auto" w:w="0"/>
        <w:tblInd w:w="0" w:type="dxa"/>
        <w:tblBorders>
          <w:top w:frame="off" w:val="single" w:shadow="off" w:sz="4" w:color="auto" w:space="0"/>
          <w:left w:frame="off" w:val="single" w:shadow="off" w:sz="4" w:color="auto" w:space="0"/>
          <w:bottom w:frame="off" w:val="single" w:shadow="off" w:sz="4" w:color="auto" w:space="0"/>
          <w:right w:frame="off" w:val="single" w:shadow="off" w:sz="4" w:color="auto" w:space="0"/>
          <w:insideH w:frame="off" w:val="single" w:shadow="off" w:sz="4" w:color="auto" w:space="0"/>
          <w:insideV w:frame="off" w:val="single" w:shadow="off" w:sz="4" w:color="auto" w:space="0"/>
        </w:tblBorders>
        <w:tblCellMar>
          <w:top w:w="0" w:type="dxa"/>
          <w:bottom w:w="0" w:type="dxa"/>
          <w:left w:w="108" w:type="dxa"/>
          <w:right w:w="108" w:type="dxa"/>
        </w:tblCellMar>
        <w:tblLayout w:type="fixed"/>
      </w:tblPr>
      <w:tblGrid>
        <w:gridCol w:w="3343"/>
        <w:gridCol w:w="5556"/>
      </w:tblGrid>
      <w:tr w14:paraId="4A149BED">
        <w:tblPrEx>
          <w:tblBorders>
            <w:top w:frame="off" w:val="single" w:shadow="off" w:sz="4" w:color="auto" w:space="0"/>
            <w:left w:frame="off" w:val="single" w:shadow="off" w:sz="4" w:color="auto" w:space="0"/>
            <w:bottom w:frame="off" w:val="single" w:shadow="off" w:sz="4" w:color="auto" w:space="0"/>
            <w:right w:frame="off" w:val="single" w:shadow="off" w:sz="4" w:color="auto" w:space="0"/>
            <w:insideH w:frame="off" w:val="single" w:shadow="off" w:sz="4" w:color="auto" w:space="0"/>
            <w:insideV w:frame="off" w:val="single" w:shadow="off" w:sz="4" w:color="auto" w:space="0"/>
          </w:tblBorders>
          <w:tblCellMar>
            <w:top w:w="0" w:type="dxa"/>
            <w:bottom w:w="0" w:type="dxa"/>
            <w:left w:w="108" w:type="dxa"/>
            <w:right w:w="108" w:type="dxa"/>
          </w:tblCellMar>
        </w:tblPrEx>
        <w:tc>
          <w:tcPr>
            <w:tcW w:type="dxa" w:w="3343"/>
            <w:vAlign w:val="top"/>
            <w:noWrap w:val="0"/>
          </w:tcPr>
          <w:p w14:paraId="531A2988">
            <w:pPr>
              <w:rPr>
                <w:vertAlign w:val="baseline"/>
                <w:b w:val="1"/>
                <w:bCs w:val="1"/>
                <w:color w:val="auto"/>
                <w:highlight w:val="none"/>
                <w:sz w:val="28"/>
                <w:szCs w:val="28"/>
                <w:lang w:eastAsia="zh-CN"/>
                <w:rFonts w:hint="eastAsia" w:cs="仿宋" w:eastAsia="仿宋" w:hAnsi="仿宋" w:ascii="仿宋"/>
              </w:rPr>
              <w:jc w:val="center"/>
            </w:pPr>
            <w:r>
              <w:rPr>
                <w:vertAlign w:val="baseline"/>
                <w:b w:val="1"/>
                <w:bCs w:val="1"/>
                <w:color w:val="auto"/>
                <w:highlight w:val="none"/>
                <w:sz w:val="28"/>
                <w:szCs w:val="28"/>
                <w:lang w:eastAsia="zh-CN"/>
                <w:rFonts w:hint="eastAsia" w:cs="仿宋" w:eastAsia="仿宋" w:hAnsi="仿宋" w:ascii="仿宋"/>
              </w:rPr>
              <w:t>车辆类型</w:t>
            </w:r>
          </w:p>
        </w:tc>
        <w:tc>
          <w:tcPr>
            <w:tcW w:type="dxa" w:w="5556"/>
            <w:vAlign w:val="top"/>
            <w:noWrap w:val="0"/>
          </w:tcPr>
          <w:p w14:paraId="5C1FA135">
            <w:pPr>
              <w:rPr>
                <w:vertAlign w:val="baseline"/>
                <w:b w:val="1"/>
                <w:bCs w:val="1"/>
                <w:color w:val="auto"/>
                <w:highlight w:val="none"/>
                <w:sz w:val="28"/>
                <w:szCs w:val="28"/>
                <w:lang w:eastAsia="zh-CN"/>
                <w:rFonts w:hint="eastAsia" w:cs="仿宋" w:eastAsia="仿宋" w:hAnsi="仿宋" w:ascii="仿宋"/>
              </w:rPr>
              <w:jc w:val="center"/>
            </w:pPr>
            <w:r>
              <w:rPr>
                <w:vertAlign w:val="baseline"/>
                <w:b w:val="1"/>
                <w:bCs w:val="1"/>
                <w:color w:val="auto"/>
                <w:highlight w:val="none"/>
                <w:sz w:val="28"/>
                <w:szCs w:val="28"/>
                <w:lang w:eastAsia="zh-CN"/>
                <w:rFonts w:hint="eastAsia" w:cs="仿宋" w:eastAsia="仿宋" w:hAnsi="仿宋" w:ascii="仿宋"/>
              </w:rPr>
              <w:t>收费标准</w:t>
            </w:r>
          </w:p>
        </w:tc>
      </w:tr>
      <w:tr w14:paraId="77963E21">
        <w:tblPrEx>
          <w:tblBorders>
            <w:top w:frame="off" w:val="single" w:shadow="off" w:sz="4" w:color="auto" w:space="0"/>
            <w:left w:frame="off" w:val="single" w:shadow="off" w:sz="4" w:color="auto" w:space="0"/>
            <w:bottom w:frame="off" w:val="single" w:shadow="off" w:sz="4" w:color="auto" w:space="0"/>
            <w:right w:frame="off" w:val="single" w:shadow="off" w:sz="4" w:color="auto" w:space="0"/>
            <w:insideH w:frame="off" w:val="single" w:shadow="off" w:sz="4" w:color="auto" w:space="0"/>
            <w:insideV w:frame="off" w:val="single" w:shadow="off" w:sz="4" w:color="auto" w:space="0"/>
          </w:tblBorders>
          <w:tblCellMar>
            <w:top w:w="0" w:type="dxa"/>
            <w:bottom w:w="0" w:type="dxa"/>
            <w:left w:w="108" w:type="dxa"/>
            <w:right w:w="108" w:type="dxa"/>
          </w:tblCellMar>
        </w:tblPrEx>
        <w:trPr>
          <w:trHeight w:hRule="atLeast" w:val="685"/>
        </w:trPr>
        <w:tc>
          <w:tcPr>
            <w:tcW w:type="dxa" w:w="3343"/>
            <w:vAlign w:val="center"/>
            <w:noWrap w:val="0"/>
          </w:tcPr>
          <w:p w14:paraId="176663BE">
            <w:pPr>
              <w:rPr>
                <w:vertAlign w:val="baseline"/>
                <w:b w:val="0"/>
                <w:bCs w:val="0"/>
                <w:color w:val="auto"/>
                <w:highlight w:val="none"/>
                <w:kern w:val="2"/>
                <w:sz w:val="28"/>
                <w:szCs w:val="28"/>
                <w:lang w:bidi="ar-SA" w:eastAsia="zh-CN" w:val="en-US"/>
                <w:rFonts w:hint="eastAsia" w:cs="仿宋" w:eastAsia="仿宋" w:hAnsi="仿宋" w:ascii="仿宋"/>
              </w:rPr>
              <w:jc w:val="center"/>
            </w:pPr>
            <w:r>
              <w:rPr>
                <w:vertAlign w:val="baseline"/>
                <w:b w:val="0"/>
                <w:bCs w:val="0"/>
                <w:color w:val="auto"/>
                <w:highlight w:val="none"/>
                <w:sz w:val="28"/>
                <w:szCs w:val="28"/>
                <w:lang w:eastAsia="zh-CN"/>
                <w:rFonts w:hint="eastAsia" w:cs="仿宋" w:eastAsia="仿宋" w:hAnsi="仿宋" w:ascii="仿宋"/>
              </w:rPr>
              <w:t>临停车</w:t>
            </w:r>
          </w:p>
        </w:tc>
        <w:tc>
          <w:tcPr>
            <w:tcW w:type="dxa" w:w="5556"/>
            <w:vAlign w:val="top"/>
            <w:noWrap w:val="0"/>
          </w:tcPr>
          <w:p w14:paraId="2C26E22D">
            <w:pPr>
              <w:rPr>
                <w:vertAlign w:val="baseline"/>
                <w:b w:val="0"/>
                <w:bCs w:val="0"/>
                <w:color w:val="auto"/>
                <w:highlight w:val="none"/>
                <w:sz w:val="28"/>
                <w:szCs w:val="28"/>
                <w:lang w:eastAsia="zh-CN" w:val="en-US"/>
                <w:rFonts w:hint="eastAsia" w:cs="仿宋" w:eastAsia="仿宋" w:hAnsi="仿宋" w:ascii="仿宋"/>
              </w:rPr>
              <w:jc w:val="both"/>
            </w:pPr>
            <w:r>
              <w:rPr>
                <w:vertAlign w:val="baseline"/>
                <w:b w:val="0"/>
                <w:bCs w:val="0"/>
                <w:color w:val="auto"/>
                <w:highlight w:val="none"/>
                <w:sz w:val="28"/>
                <w:szCs w:val="28"/>
                <w:lang w:eastAsia="zh-CN" w:val="en-US"/>
                <w:rFonts w:hint="eastAsia" w:cs="仿宋" w:eastAsia="仿宋" w:hAnsi="仿宋" w:ascii="仿宋"/>
              </w:rPr>
              <w:t>1小时内免费，超1小时收费5元，每增加1小时加收1.5元/小时，24小时内20元封顶，超过24小时后循环计费</w:t>
            </w:r>
          </w:p>
        </w:tc>
      </w:tr>
      <w:tr w14:paraId="0ADA45E3">
        <w:tblPrEx>
          <w:tblBorders>
            <w:top w:frame="off" w:val="single" w:shadow="off" w:sz="4" w:color="auto" w:space="0"/>
            <w:left w:frame="off" w:val="single" w:shadow="off" w:sz="4" w:color="auto" w:space="0"/>
            <w:bottom w:frame="off" w:val="single" w:shadow="off" w:sz="4" w:color="auto" w:space="0"/>
            <w:right w:frame="off" w:val="single" w:shadow="off" w:sz="4" w:color="auto" w:space="0"/>
            <w:insideH w:frame="off" w:val="single" w:shadow="off" w:sz="4" w:color="auto" w:space="0"/>
            <w:insideV w:frame="off" w:val="single" w:shadow="off" w:sz="4" w:color="auto" w:space="0"/>
          </w:tblBorders>
          <w:tblCellMar>
            <w:top w:w="0" w:type="dxa"/>
            <w:bottom w:w="0" w:type="dxa"/>
            <w:left w:w="108" w:type="dxa"/>
            <w:right w:w="108" w:type="dxa"/>
          </w:tblCellMar>
        </w:tblPrEx>
        <w:trPr>
          <w:trHeight w:hRule="atLeast" w:val="685"/>
        </w:trPr>
        <w:tc>
          <w:tcPr>
            <w:tcW w:type="dxa" w:w="3343"/>
            <w:vAlign w:val="center"/>
            <w:noWrap w:val="0"/>
          </w:tcPr>
          <w:p w14:paraId="6588C475">
            <w:pPr>
              <w:rPr>
                <w:vertAlign w:val="baseline"/>
                <w:b w:val="0"/>
                <w:bCs w:val="0"/>
                <w:color w:val="auto"/>
                <w:highlight w:val="none"/>
                <w:kern w:val="2"/>
                <w:sz w:val="28"/>
                <w:szCs w:val="28"/>
                <w:lang w:bidi="ar-SA" w:eastAsia="zh-CN" w:val="en-US"/>
                <w:rFonts w:hint="eastAsia" w:cs="仿宋" w:eastAsia="仿宋" w:hAnsi="仿宋" w:ascii="仿宋"/>
              </w:rPr>
              <w:jc w:val="center"/>
            </w:pPr>
            <w:r>
              <w:rPr>
                <w:vertAlign w:val="baseline"/>
                <w:b w:val="0"/>
                <w:bCs w:val="0"/>
                <w:color w:val="auto"/>
                <w:highlight w:val="none"/>
                <w:sz w:val="28"/>
                <w:szCs w:val="28"/>
                <w:lang w:eastAsia="zh-CN"/>
                <w:rFonts w:hint="eastAsia" w:cs="仿宋" w:eastAsia="仿宋" w:hAnsi="仿宋" w:ascii="仿宋"/>
              </w:rPr>
              <w:t>月租车</w:t>
            </w:r>
          </w:p>
        </w:tc>
        <w:tc>
          <w:tcPr>
            <w:tcW w:type="dxa" w:w="5556"/>
            <w:vAlign w:val="top"/>
            <w:noWrap w:val="0"/>
          </w:tcPr>
          <w:p w14:paraId="7E094766">
            <w:pPr>
              <w:rPr>
                <w:vertAlign w:val="baseline"/>
                <w:b w:val="0"/>
                <w:bCs w:val="0"/>
                <w:color w:val="auto"/>
                <w:highlight w:val="none"/>
                <w:sz w:val="28"/>
                <w:szCs w:val="28"/>
                <w:lang w:eastAsia="zh-CN" w:val="en-US"/>
                <w:rFonts w:hint="eastAsia" w:cs="仿宋" w:eastAsia="仿宋" w:hAnsi="仿宋" w:ascii="仿宋"/>
              </w:rPr>
              <w:jc w:val="both"/>
            </w:pPr>
            <w:r>
              <w:rPr>
                <w:vertAlign w:val="baseline"/>
                <w:b w:val="0"/>
                <w:bCs w:val="0"/>
                <w:color w:val="auto"/>
                <w:highlight w:val="none"/>
                <w:sz w:val="28"/>
                <w:szCs w:val="28"/>
                <w:lang w:eastAsia="zh-CN" w:val="en-US"/>
                <w:rFonts w:hint="eastAsia" w:cs="仿宋" w:eastAsia="仿宋" w:hAnsi="仿宋" w:ascii="仿宋"/>
              </w:rPr>
              <w:t>月租金</w:t>
            </w:r>
            <w:r>
              <w:rPr>
                <w:vertAlign w:val="baseline"/>
                <w:b w:val="0"/>
                <w:bCs w:val="0"/>
                <w:color w:val="auto"/>
                <w:highlight w:val="none"/>
                <w:sz w:val="28"/>
                <w:szCs w:val="28"/>
                <w:lang w:eastAsia="zh-CN" w:val="en-US"/>
                <w:rFonts w:hint="default" w:cs="仿宋" w:eastAsia="仿宋" w:hAnsi="仿宋" w:ascii="仿宋"/>
              </w:rPr>
              <w:t>15</w:t>
            </w:r>
            <w:r>
              <w:rPr>
                <w:vertAlign w:val="baseline"/>
                <w:b w:val="0"/>
                <w:bCs w:val="0"/>
                <w:color w:val="auto"/>
                <w:highlight w:val="none"/>
                <w:sz w:val="28"/>
                <w:szCs w:val="28"/>
                <w:lang w:eastAsia="zh-CN" w:val="en-US"/>
                <w:rFonts w:hint="eastAsia" w:cs="仿宋" w:eastAsia="仿宋" w:hAnsi="仿宋" w:ascii="仿宋"/>
              </w:rPr>
              <w:t>0元/月/辆</w:t>
            </w:r>
          </w:p>
        </w:tc>
      </w:tr>
    </w:tbl>
    <w:p w14:paraId="3EC59992">
      <w:pPr>
        <w:numPr>
          <w:ilvl w:val="0"/>
          <w:numId w:val="1"/>
        </w:numPr>
        <w:spacing w:lineRule="auto" w:line="240" w:beforeAutospacing="0" w:afterAutospacing="0"/>
        <w:ind w:firstLineChars="200" w:firstLine="560"/>
        <w:rPr>
          <w:color w:val="auto"/>
          <w:highlight w:val="none"/>
          <w:sz w:val="28"/>
          <w:szCs w:val="28"/>
          <w:lang w:eastAsia="zh-CN" w:val="en-US"/>
          <w:rFonts w:hint="eastAsia" w:cs="仿宋_GB2312" w:eastAsia="仿宋_GB2312" w:hAnsi="仿宋_GB2312" w:ascii="仿宋_GB2312"/>
        </w:rPr>
      </w:pPr>
      <w:r>
        <w:rPr>
          <w:color w:val="auto"/>
          <w:highlight w:val="none"/>
          <w:sz w:val="28"/>
          <w:szCs w:val="28"/>
          <w:lang w:eastAsia="zh-CN" w:val="en-US"/>
          <w:rFonts w:hint="eastAsia" w:cs="仿宋_GB2312" w:eastAsia="仿宋_GB2312" w:hAnsi="仿宋_GB2312" w:ascii="仿宋_GB2312"/>
        </w:rPr>
        <w:t>系统及数据管理要求：</w:t>
      </w:r>
    </w:p>
    <w:p w14:paraId="4EB3FE60">
      <w:pPr>
        <w:spacing w:lineRule="auto" w:line="240" w:beforeAutospacing="0" w:afterAutospacing="0"/>
        <w:ind w:firstLineChars="200" w:firstLine="560"/>
        <w:rPr>
          <w:color w:val="auto"/>
          <w:highlight w:val="none"/>
          <w:sz w:val="28"/>
          <w:szCs w:val="28"/>
          <w:lang w:eastAsia="zh-CN" w:val="en-US"/>
          <w:rFonts w:hint="eastAsia" w:cs="仿宋_GB2312" w:eastAsia="仿宋_GB2312" w:hAnsi="仿宋_GB2312" w:ascii="仿宋_GB2312"/>
        </w:rPr>
      </w:pPr>
      <w:r>
        <w:rPr>
          <w:color w:val="auto"/>
          <w:highlight w:val="none"/>
          <w:sz w:val="28"/>
          <w:szCs w:val="28"/>
          <w:lang w:eastAsia="zh-CN" w:val="en-US"/>
          <w:rFonts w:hint="eastAsia" w:cs="仿宋_GB2312" w:eastAsia="仿宋_GB2312" w:hAnsi="仿宋_GB2312" w:ascii="仿宋_GB2312"/>
        </w:rPr>
        <w:t>1.收费系统须无条件配合接入镇统一管理平台；</w:t>
      </w:r>
    </w:p>
    <w:p w14:paraId="46C24789">
      <w:pPr>
        <w:spacing w:lineRule="auto" w:line="240" w:beforeAutospacing="0" w:afterAutospacing="0"/>
        <w:ind w:firstLineChars="200" w:firstLine="560"/>
        <w:rPr>
          <w:color w:val="auto"/>
          <w:highlight w:val="none"/>
          <w:sz w:val="28"/>
          <w:szCs w:val="28"/>
          <w:lang w:eastAsia="zh-CN" w:val="en-US"/>
          <w:rFonts w:hint="default" w:cs="仿宋_GB2312" w:eastAsia="仿宋_GB2312" w:hAnsi="仿宋_GB2312" w:ascii="仿宋_GB2312"/>
        </w:rPr>
      </w:pPr>
      <w:r>
        <w:rPr>
          <w:color w:val="auto"/>
          <w:highlight w:val="none"/>
          <w:sz w:val="28"/>
          <w:szCs w:val="28"/>
          <w:lang w:eastAsia="zh-CN" w:val="en-US"/>
          <w:rFonts w:hint="eastAsia" w:cs="仿宋_GB2312" w:eastAsia="仿宋_GB2312" w:hAnsi="仿宋_GB2312" w:ascii="仿宋_GB2312"/>
        </w:rPr>
        <w:t>2.收费系统、现场监控系统等须增加东海社区账号作为管理员。</w:t>
      </w:r>
    </w:p>
    <w:p w14:paraId="7DEDFF04">
      <w:pPr>
        <w:spacing w:lineRule="auto" w:line="240" w:beforeAutospacing="0" w:afterAutospacing="0"/>
        <w:ind w:firstLineChars="200" w:firstLine="562"/>
        <w:rPr>
          <w:color w:val="auto"/>
          <w:highlight w:val="none"/>
          <w:sz w:val="28"/>
          <w:szCs w:val="28"/>
          <w:rFonts w:hint="eastAsia" w:cs="仿宋_GB2312" w:eastAsia="仿宋_GB2312" w:hAnsi="仿宋_GB2312" w:ascii="仿宋_GB2312"/>
        </w:rPr>
      </w:pPr>
      <w:r>
        <w:rPr>
          <w:b w:val="1"/>
          <w:bCs w:val="1"/>
          <w:color w:val="auto"/>
          <w:highlight w:val="none"/>
          <w:sz w:val="28"/>
          <w:szCs w:val="28"/>
          <w:rFonts w:hint="eastAsia" w:cs="黑体" w:eastAsia="黑体" w:hAnsi="黑体" w:ascii="黑体"/>
        </w:rPr>
        <w:t>二、规划用途：</w:t>
      </w:r>
      <w:r>
        <w:rPr>
          <w:color w:val="auto"/>
          <w:highlight w:val="none"/>
          <w:sz w:val="28"/>
          <w:szCs w:val="28"/>
          <w:lang w:eastAsia="zh-CN"/>
          <w:rFonts w:hint="eastAsia" w:cs="仿宋_GB2312" w:eastAsia="仿宋_GB2312" w:hAnsi="仿宋_GB2312" w:ascii="仿宋_GB2312"/>
        </w:rPr>
        <w:t>出租区域</w:t>
      </w:r>
      <w:r>
        <w:rPr>
          <w:color w:val="auto"/>
          <w:highlight w:val="none"/>
          <w:sz w:val="28"/>
          <w:szCs w:val="28"/>
          <w:rFonts w:hint="eastAsia" w:cs="仿宋_GB2312" w:eastAsia="仿宋_GB2312" w:hAnsi="仿宋_GB2312" w:ascii="仿宋_GB2312"/>
        </w:rPr>
        <w:t>只作</w:t>
      </w:r>
      <w:r>
        <w:rPr>
          <w:color w:val="auto"/>
          <w:highlight w:val="none"/>
          <w:sz w:val="28"/>
          <w:szCs w:val="28"/>
          <w:lang w:eastAsia="zh-CN"/>
          <w:rFonts w:hint="eastAsia" w:cs="仿宋_GB2312" w:eastAsia="仿宋_GB2312" w:hAnsi="仿宋_GB2312" w:ascii="仿宋_GB2312"/>
        </w:rPr>
        <w:t>临时</w:t>
      </w:r>
      <w:r>
        <w:rPr>
          <w:b w:val="0"/>
          <w:bCs w:val="0"/>
          <w:color w:val="auto"/>
          <w:highlight w:val="none"/>
          <w:sz w:val="28"/>
          <w:szCs w:val="28"/>
          <w:lang w:eastAsia="zh-CN" w:val="en-US"/>
          <w:rFonts w:hint="eastAsia" w:cs="仿宋_GB2312" w:eastAsia="仿宋_GB2312" w:hAnsi="仿宋_GB2312" w:ascii="仿宋_GB2312"/>
        </w:rPr>
        <w:t>停车</w:t>
      </w:r>
      <w:r>
        <w:rPr>
          <w:color w:val="auto"/>
          <w:highlight w:val="none"/>
          <w:sz w:val="28"/>
          <w:szCs w:val="28"/>
          <w:lang w:eastAsia="zh-CN"/>
          <w:rFonts w:hint="eastAsia" w:cs="仿宋_GB2312" w:eastAsia="仿宋_GB2312" w:hAnsi="仿宋_GB2312" w:ascii="仿宋_GB2312"/>
        </w:rPr>
        <w:t>使用</w:t>
      </w:r>
      <w:r>
        <w:rPr>
          <w:color w:val="auto"/>
          <w:highlight w:val="none"/>
          <w:sz w:val="28"/>
          <w:szCs w:val="28"/>
          <w:rFonts w:hint="eastAsia" w:cs="仿宋_GB2312" w:eastAsia="仿宋_GB2312" w:hAnsi="仿宋_GB2312" w:ascii="仿宋_GB2312"/>
        </w:rPr>
        <w:t>；</w:t>
      </w:r>
    </w:p>
    <w:p w14:paraId="733B8EC3">
      <w:pPr>
        <w:spacing w:lineRule="auto" w:line="240" w:beforeAutospacing="0" w:afterAutospacing="0"/>
        <w:ind w:firstLineChars="200" w:firstLine="562"/>
        <w:rPr>
          <w:color w:val="auto"/>
          <w:highlight w:val="none"/>
          <w:sz w:val="28"/>
          <w:szCs w:val="28"/>
          <w:rFonts w:hint="eastAsia" w:cs="仿宋_GB2312" w:eastAsia="仿宋_GB2312" w:hAnsi="仿宋_GB2312" w:ascii="仿宋_GB2312"/>
        </w:rPr>
      </w:pPr>
      <w:r>
        <w:rPr>
          <w:b w:val="1"/>
          <w:bCs w:val="1"/>
          <w:color w:val="auto"/>
          <w:highlight w:val="none"/>
          <w:sz w:val="28"/>
          <w:szCs w:val="28"/>
          <w:rFonts w:hint="eastAsia" w:cs="黑体" w:eastAsia="黑体" w:hAnsi="黑体" w:ascii="黑体"/>
        </w:rPr>
        <w:t>三、</w:t>
      </w:r>
      <w:r>
        <w:rPr>
          <w:b w:val="1"/>
          <w:bCs w:val="1"/>
          <w:color w:val="auto"/>
          <w:highlight w:val="none"/>
          <w:sz w:val="28"/>
          <w:szCs w:val="28"/>
          <w:lang w:eastAsia="zh-CN" w:val="en-US"/>
          <w:rFonts w:hint="eastAsia" w:cs="黑体" w:eastAsia="黑体" w:hAnsi="黑体" w:ascii="黑体"/>
        </w:rPr>
        <w:t>投标</w:t>
      </w:r>
      <w:r>
        <w:rPr>
          <w:b w:val="1"/>
          <w:bCs w:val="1"/>
          <w:color w:val="auto"/>
          <w:highlight w:val="none"/>
          <w:sz w:val="28"/>
          <w:szCs w:val="28"/>
          <w:rFonts w:hint="eastAsia" w:cs="黑体" w:eastAsia="黑体" w:hAnsi="黑体" w:ascii="黑体"/>
        </w:rPr>
        <w:t>保证金：</w:t>
      </w:r>
      <w:r>
        <w:rPr>
          <w:color w:val="auto"/>
          <w:highlight w:val="none"/>
          <w:sz w:val="28"/>
          <w:szCs w:val="28"/>
          <w:lang w:eastAsia="zh-CN" w:val="en-US"/>
          <w:rFonts w:hint="eastAsia" w:cs="仿宋_GB2312" w:eastAsia="仿宋_GB2312" w:hAnsi="仿宋_GB2312" w:ascii="仿宋_GB2312"/>
        </w:rPr>
        <w:t>50000</w:t>
      </w:r>
      <w:r>
        <w:rPr>
          <w:b w:val="0"/>
          <w:bCs w:val="0"/>
          <w:color w:val="auto"/>
          <w:highlight w:val="none"/>
          <w:sz w:val="28"/>
          <w:szCs w:val="28"/>
          <w:rFonts w:hint="eastAsia" w:cs="仿宋_GB2312" w:eastAsia="仿宋_GB2312" w:hAnsi="仿宋_GB2312" w:ascii="仿宋_GB2312"/>
        </w:rPr>
        <w:t>元人民币</w:t>
      </w:r>
      <w:r>
        <w:rPr>
          <w:b w:val="0"/>
          <w:bCs w:val="0"/>
          <w:color w:val="auto"/>
          <w:highlight w:val="none"/>
          <w:sz w:val="28"/>
          <w:szCs w:val="28"/>
          <w:lang w:eastAsia="zh-CN"/>
          <w:rFonts w:hint="eastAsia" w:cs="仿宋_GB2312" w:eastAsia="仿宋_GB2312" w:hAnsi="仿宋_GB2312" w:ascii="仿宋_GB2312"/>
        </w:rPr>
        <w:t>（大写：伍万元整）</w:t>
      </w:r>
      <w:r>
        <w:rPr>
          <w:b w:val="0"/>
          <w:bCs w:val="0"/>
          <w:color w:val="auto"/>
          <w:highlight w:val="none"/>
          <w:sz w:val="28"/>
          <w:szCs w:val="28"/>
          <w:rFonts w:hint="eastAsia" w:cs="仿宋_GB2312" w:eastAsia="仿宋_GB2312" w:hAnsi="仿宋_GB2312" w:ascii="仿宋_GB2312"/>
        </w:rPr>
        <w:t>；</w:t>
      </w:r>
    </w:p>
    <w:p w14:paraId="02909B8C">
      <w:pPr>
        <w:spacing w:lineRule="auto" w:line="240" w:beforeAutospacing="0" w:afterAutospacing="0"/>
        <w:ind w:firstLineChars="200" w:firstLine="562"/>
        <w:rPr>
          <w:color w:val="auto"/>
          <w:highlight w:val="none"/>
          <w:sz w:val="28"/>
          <w:szCs w:val="28"/>
          <w:rFonts w:hint="eastAsia" w:cs="仿宋_GB2312" w:eastAsia="仿宋_GB2312" w:hAnsi="仿宋_GB2312" w:ascii="仿宋_GB2312"/>
        </w:rPr>
      </w:pPr>
      <w:r>
        <w:rPr>
          <w:b w:val="1"/>
          <w:bCs w:val="1"/>
          <w:color w:val="auto"/>
          <w:highlight w:val="none"/>
          <w:sz w:val="28"/>
          <w:szCs w:val="28"/>
          <w:rFonts w:hint="eastAsia" w:cs="黑体" w:eastAsia="黑体" w:hAnsi="黑体" w:ascii="黑体"/>
        </w:rPr>
        <w:t>四、投标报名：</w:t>
      </w:r>
    </w:p>
    <w:p w14:paraId="35312629">
      <w:pPr>
        <w:spacing w:lineRule="auto" w:line="240" w:beforeAutospacing="0" w:afterAutospacing="0"/>
        <w:ind w:firstLineChars="200" w:firstLine="560"/>
        <w:rPr>
          <w:color w:val="auto"/>
          <w:highlight w:val="none"/>
          <w:sz w:val="28"/>
          <w:szCs w:val="28"/>
          <w:rFonts w:hint="eastAsia" w:cs="仿宋_GB2312" w:eastAsia="仿宋_GB2312" w:hAnsi="仿宋_GB2312" w:ascii="仿宋_GB2312"/>
        </w:rPr>
      </w:pPr>
      <w:r>
        <w:rPr>
          <w:color w:val="auto"/>
          <w:highlight w:val="none"/>
          <w:sz w:val="28"/>
          <w:szCs w:val="28"/>
          <w:rFonts w:hint="eastAsia" w:cs="仿宋_GB2312" w:eastAsia="仿宋_GB2312" w:hAnsi="仿宋_GB2312" w:ascii="仿宋_GB2312"/>
        </w:rPr>
        <w:t>1、参与竞投者须缴纳投标保证金</w:t>
      </w:r>
      <w:r>
        <w:rPr>
          <w:color w:val="auto"/>
          <w:highlight w:val="none"/>
          <w:sz w:val="28"/>
          <w:szCs w:val="28"/>
          <w:lang w:eastAsia="zh-CN"/>
          <w:rFonts w:hint="eastAsia" w:cs="仿宋_GB2312" w:eastAsia="仿宋_GB2312" w:hAnsi="仿宋_GB2312" w:ascii="仿宋_GB2312"/>
        </w:rPr>
        <w:t>，</w:t>
      </w:r>
      <w:r>
        <w:rPr>
          <w:b w:val="0"/>
          <w:bCs w:val="0"/>
          <w:color w:val="auto"/>
          <w:highlight w:val="none"/>
          <w:sz w:val="28"/>
          <w:szCs w:val="28"/>
          <w:lang w:eastAsia="zh-CN" w:val="en-US"/>
          <w:rFonts w:hint="eastAsia" w:cs="仿宋_GB2312" w:eastAsia="仿宋_GB2312" w:hAnsi="仿宋_GB2312" w:ascii="仿宋_GB2312"/>
        </w:rPr>
        <w:t>缴纳保证金账号必须与竞投者保持一致</w:t>
      </w:r>
      <w:r>
        <w:rPr>
          <w:color w:val="auto"/>
          <w:highlight w:val="none"/>
          <w:sz w:val="28"/>
          <w:szCs w:val="28"/>
          <w:rFonts w:hint="eastAsia" w:cs="仿宋_GB2312" w:eastAsia="仿宋_GB2312" w:hAnsi="仿宋_GB2312" w:ascii="仿宋_GB2312"/>
        </w:rPr>
        <w:t>，</w:t>
      </w:r>
      <w:r>
        <w:rPr>
          <w:color w:val="auto"/>
          <w:highlight w:val="none"/>
          <w:sz w:val="28"/>
          <w:szCs w:val="28"/>
          <w:lang w:eastAsia="zh-CN" w:val="en-US"/>
          <w:rFonts w:hint="eastAsia" w:cs="仿宋_GB2312" w:eastAsia="仿宋_GB2312" w:hAnsi="仿宋_GB2312" w:ascii="仿宋_GB2312"/>
        </w:rPr>
        <w:t>缴交时要备注具体参投项目</w:t>
      </w:r>
      <w:r>
        <w:rPr>
          <w:b w:val="0"/>
          <w:bCs w:val="0"/>
          <w:color w:val="auto"/>
          <w:highlight w:val="none"/>
          <w:sz w:val="28"/>
          <w:szCs w:val="28"/>
          <w:rFonts w:hint="eastAsia" w:cs="仿宋_GB2312" w:eastAsia="仿宋_GB2312" w:hAnsi="仿宋_GB2312" w:ascii="仿宋_GB2312"/>
        </w:rPr>
        <w:t>，竞投者</w:t>
      </w:r>
      <w:r>
        <w:rPr>
          <w:color w:val="auto"/>
          <w:highlight w:val="none"/>
          <w:sz w:val="28"/>
          <w:szCs w:val="28"/>
          <w:rFonts w:hint="eastAsia" w:cs="仿宋_GB2312" w:eastAsia="仿宋_GB2312" w:hAnsi="仿宋_GB2312" w:ascii="仿宋_GB2312"/>
        </w:rPr>
        <w:t>请于</w:t>
      </w:r>
      <w:r>
        <w:rPr>
          <w:i w:val="0"/>
          <w:color w:val="auto"/>
          <w:spacing w:val="0"/>
          <w:highlight w:val="none"/>
          <w:sz w:val="28"/>
          <w:szCs w:val="28"/>
          <w:rFonts w:hint="eastAsia" w:cs="仿宋_GB2312" w:eastAsia="仿宋_GB2312" w:hAnsi="仿宋_GB2312" w:ascii="仿宋_GB2312"/>
        </w:rPr>
        <w:t>202</w:t>
      </w:r>
      <w:r>
        <w:rPr>
          <w:i w:val="0"/>
          <w:color w:val="auto"/>
          <w:spacing w:val="0"/>
          <w:highlight w:val="none"/>
          <w:sz w:val="28"/>
          <w:szCs w:val="28"/>
          <w:lang w:eastAsia="zh-CN" w:val="en-US"/>
          <w:rFonts w:hint="eastAsia" w:cs="仿宋_GB2312" w:eastAsia="仿宋_GB2312" w:hAnsi="仿宋_GB2312" w:ascii="仿宋_GB2312"/>
        </w:rPr>
        <w:t>5</w:t>
      </w:r>
      <w:r>
        <w:rPr>
          <w:i w:val="0"/>
          <w:color w:val="auto"/>
          <w:spacing w:val="0"/>
          <w:highlight w:val="none"/>
          <w:sz w:val="28"/>
          <w:szCs w:val="28"/>
          <w:rFonts w:hint="eastAsia" w:cs="仿宋_GB2312" w:eastAsia="仿宋_GB2312" w:hAnsi="仿宋_GB2312" w:ascii="仿宋_GB2312"/>
        </w:rPr>
        <w:t>年</w:t>
      </w:r>
      <w:r>
        <w:rPr>
          <w:i w:val="0"/>
          <w:color w:val="auto"/>
          <w:spacing w:val="0"/>
          <w:highlight w:val="none"/>
          <w:sz w:val="28"/>
          <w:szCs w:val="28"/>
          <w:lang w:eastAsia="zh-CN" w:val="en-US"/>
          <w:rFonts w:hint="eastAsia" w:cs="仿宋_GB2312" w:eastAsia="仿宋_GB2312" w:hAnsi="仿宋_GB2312" w:ascii="仿宋_GB2312"/>
        </w:rPr>
        <w:t>1</w:t>
      </w:r>
      <w:r>
        <w:rPr>
          <w:i w:val="0"/>
          <w:color w:val="auto"/>
          <w:spacing w:val="0"/>
          <w:highlight w:val="none"/>
          <w:sz w:val="28"/>
          <w:szCs w:val="28"/>
          <w:rFonts w:hint="eastAsia" w:cs="仿宋_GB2312" w:eastAsia="仿宋_GB2312" w:hAnsi="仿宋_GB2312" w:ascii="仿宋_GB2312"/>
        </w:rPr>
        <w:t>月</w:t>
      </w:r>
      <w:r>
        <w:rPr>
          <w:i w:val="0"/>
          <w:color w:val="FF0000"/>
          <w:spacing w:val="0"/>
          <w:highlight w:val="none"/>
          <w:sz w:val="28"/>
          <w:szCs w:val="28"/>
          <w:lang w:eastAsia="zh-CN" w:val="en-US"/>
          <w:rFonts w:hint="eastAsia" w:cs="仿宋_GB2312" w:eastAsia="仿宋_GB2312" w:hAnsi="仿宋_GB2312" w:ascii="仿宋_GB2312"/>
        </w:rPr>
        <w:t>10</w:t>
      </w:r>
      <w:r>
        <w:rPr>
          <w:color w:val="auto"/>
          <w:highlight w:val="none"/>
          <w:sz w:val="28"/>
          <w:szCs w:val="28"/>
          <w:rFonts w:hint="eastAsia" w:cs="仿宋_GB2312" w:eastAsia="仿宋_GB2312" w:hAnsi="仿宋_GB2312" w:ascii="仿宋_GB2312"/>
        </w:rPr>
        <w:t>日16：00</w:t>
      </w:r>
      <w:r>
        <w:rPr>
          <w:highlight w:val="none"/>
          <w:sz w:val="28"/>
          <w:szCs w:val="28"/>
          <w:rFonts w:hint="eastAsia" w:cs="仿宋_GB2312" w:eastAsia="仿宋_GB2312" w:hAnsi="仿宋_GB2312" w:ascii="仿宋_GB2312"/>
        </w:rPr>
        <w:t>前自行到</w:t>
      </w:r>
      <w:r>
        <w:rPr>
          <w:highlight w:val="none"/>
          <w:sz w:val="28"/>
          <w:szCs w:val="28"/>
          <w:lang w:eastAsia="zh-CN"/>
          <w:rFonts w:hint="eastAsia" w:cs="仿宋_GB2312" w:eastAsia="仿宋_GB2312" w:hAnsi="仿宋_GB2312" w:ascii="仿宋_GB2312"/>
        </w:rPr>
        <w:t>建设银行东富路</w:t>
      </w:r>
      <w:r>
        <w:rPr>
          <w:highlight w:val="none"/>
          <w:sz w:val="28"/>
          <w:szCs w:val="28"/>
          <w:rFonts w:hint="eastAsia" w:cs="仿宋_GB2312" w:eastAsia="仿宋_GB2312" w:hAnsi="仿宋_GB2312" w:ascii="仿宋_GB2312"/>
        </w:rPr>
        <w:t>支行缴纳（银行名称：</w:t>
      </w:r>
      <w:r>
        <w:rPr>
          <w:highlight w:val="none"/>
          <w:sz w:val="28"/>
          <w:szCs w:val="28"/>
          <w:lang w:eastAsia="zh-CN"/>
          <w:rFonts w:hint="eastAsia" w:cs="仿宋_GB2312" w:eastAsia="仿宋_GB2312" w:hAnsi="仿宋_GB2312" w:ascii="仿宋_GB2312"/>
        </w:rPr>
        <w:t>中国建设银行中山东凤东富路支行</w:t>
      </w:r>
      <w:r>
        <w:rPr>
          <w:highlight w:val="none"/>
          <w:sz w:val="28"/>
          <w:szCs w:val="28"/>
          <w:rFonts w:hint="eastAsia" w:cs="仿宋_GB2312" w:eastAsia="仿宋_GB2312" w:hAnsi="仿宋_GB2312" w:ascii="仿宋_GB2312"/>
        </w:rPr>
        <w:t>，单位名称：广东省中山市东凤镇东海社区居民委员会，账号：</w:t>
      </w:r>
      <w:r>
        <w:rPr>
          <w:highlight w:val="none"/>
          <w:sz w:val="28"/>
          <w:szCs w:val="28"/>
          <w:lang w:eastAsia="zh-CN" w:val="en-US"/>
          <w:rFonts w:hint="eastAsia" w:cs="仿宋_GB2312" w:eastAsia="仿宋_GB2312" w:hAnsi="仿宋_GB2312" w:ascii="仿宋_GB2312"/>
        </w:rPr>
        <w:t>44050178180100001067</w:t>
      </w:r>
      <w:r>
        <w:rPr>
          <w:highlight w:val="none"/>
          <w:sz w:val="28"/>
          <w:szCs w:val="28"/>
          <w:rFonts w:hint="eastAsia" w:cs="仿宋_GB2312" w:eastAsia="仿宋_GB2312" w:hAnsi="仿宋_GB2312" w:ascii="仿宋_GB2312"/>
        </w:rPr>
        <w:t>）</w:t>
      </w:r>
      <w:r>
        <w:rPr>
          <w:color w:val="auto"/>
          <w:highlight w:val="none"/>
          <w:sz w:val="28"/>
          <w:szCs w:val="28"/>
          <w:rFonts w:hint="eastAsia" w:cs="仿宋_GB2312" w:eastAsia="仿宋_GB2312" w:hAnsi="仿宋_GB2312" w:ascii="仿宋_GB2312"/>
        </w:rPr>
        <w:t>。未中标者</w:t>
      </w:r>
      <w:r>
        <w:rPr>
          <w:color w:val="auto"/>
          <w:highlight w:val="none"/>
          <w:sz w:val="28"/>
          <w:szCs w:val="28"/>
          <w:lang w:eastAsia="zh-CN"/>
          <w:rFonts w:hint="eastAsia" w:cs="仿宋_GB2312" w:eastAsia="仿宋_GB2312" w:hAnsi="仿宋_GB2312" w:ascii="仿宋_GB2312"/>
        </w:rPr>
        <w:t>凭</w:t>
      </w:r>
      <w:r>
        <w:rPr>
          <w:color w:val="auto"/>
          <w:highlight w:val="none"/>
          <w:sz w:val="28"/>
          <w:szCs w:val="28"/>
          <w:lang w:eastAsia="zh-CN" w:val="en-US"/>
          <w:rFonts w:hint="eastAsia" w:cs="仿宋_GB2312" w:eastAsia="仿宋_GB2312" w:hAnsi="仿宋_GB2312" w:ascii="仿宋_GB2312"/>
        </w:rPr>
        <w:t>保证金缴款单回执、收款收据办理退回手续，</w:t>
      </w:r>
      <w:r>
        <w:rPr>
          <w:color w:val="auto"/>
          <w:highlight w:val="none"/>
          <w:sz w:val="28"/>
          <w:szCs w:val="28"/>
          <w:lang w:eastAsia="zh-CN"/>
          <w:rFonts w:hint="eastAsia" w:cs="仿宋_GB2312" w:eastAsia="仿宋_GB2312" w:hAnsi="仿宋_GB2312" w:ascii="仿宋_GB2312"/>
        </w:rPr>
        <w:t>社区</w:t>
      </w:r>
      <w:r>
        <w:rPr>
          <w:color w:val="auto"/>
          <w:highlight w:val="none"/>
          <w:sz w:val="28"/>
          <w:szCs w:val="28"/>
          <w:lang w:eastAsia="zh-CN" w:val="en-US"/>
          <w:rFonts w:hint="eastAsia" w:cs="仿宋_GB2312" w:eastAsia="仿宋_GB2312" w:hAnsi="仿宋_GB2312" w:ascii="仿宋_GB2312"/>
        </w:rPr>
        <w:t>于</w:t>
      </w:r>
      <w:r>
        <w:rPr>
          <w:color w:val="auto"/>
          <w:highlight w:val="none"/>
          <w:sz w:val="28"/>
          <w:szCs w:val="28"/>
          <w:rFonts w:hint="eastAsia" w:cs="仿宋_GB2312" w:eastAsia="仿宋_GB2312" w:hAnsi="仿宋_GB2312" w:ascii="仿宋_GB2312"/>
        </w:rPr>
        <w:t>1</w:t>
      </w:r>
      <w:r>
        <w:rPr>
          <w:color w:val="auto"/>
          <w:highlight w:val="none"/>
          <w:sz w:val="28"/>
          <w:szCs w:val="28"/>
          <w:lang w:eastAsia="zh-CN" w:val="en-US"/>
          <w:rFonts w:hint="eastAsia" w:cs="仿宋_GB2312" w:eastAsia="仿宋_GB2312" w:hAnsi="仿宋_GB2312" w:ascii="仿宋_GB2312"/>
        </w:rPr>
        <w:t>5</w:t>
      </w:r>
      <w:r>
        <w:rPr>
          <w:color w:val="auto"/>
          <w:highlight w:val="none"/>
          <w:sz w:val="28"/>
          <w:szCs w:val="28"/>
          <w:rFonts w:hint="eastAsia" w:cs="仿宋_GB2312" w:eastAsia="仿宋_GB2312" w:hAnsi="仿宋_GB2312" w:ascii="仿宋_GB2312"/>
        </w:rPr>
        <w:t>个工作日内退还保证金本金</w:t>
      </w:r>
      <w:r>
        <w:rPr>
          <w:color w:val="auto"/>
          <w:highlight w:val="none"/>
          <w:sz w:val="28"/>
          <w:szCs w:val="28"/>
          <w:lang w:eastAsia="zh-CN"/>
          <w:rFonts w:hint="eastAsia" w:cs="仿宋_GB2312" w:eastAsia="仿宋_GB2312" w:hAnsi="仿宋_GB2312" w:ascii="仿宋_GB2312"/>
        </w:rPr>
        <w:t>。</w:t>
      </w:r>
      <w:r>
        <w:rPr>
          <w:color w:val="auto"/>
          <w:highlight w:val="none"/>
          <w:kern w:val="0"/>
          <w:sz w:val="28"/>
          <w:szCs w:val="28"/>
          <w:lang w:eastAsia="zh-CN" w:val="en-US"/>
          <w:rFonts w:hint="eastAsia" w:cs="Arial" w:eastAsia="仿宋_GB2312" w:hAnsi="仿宋" w:ascii="仿宋_GB2312"/>
        </w:rPr>
        <w:t>中标者投标保证金自动转为合同履约金。</w:t>
      </w:r>
    </w:p>
    <w:p w14:paraId="3D8077B5">
      <w:pPr>
        <w:spacing w:lineRule="auto" w:line="240" w:beforeAutospacing="0" w:afterAutospacing="0"/>
        <w:ind w:firstLineChars="200" w:firstLine="560"/>
        <w:rPr>
          <w:color w:val="auto"/>
          <w:highlight w:val="none"/>
          <w:sz w:val="28"/>
          <w:szCs w:val="28"/>
          <w:lang w:eastAsia="zh-CN"/>
          <w:rFonts w:hint="eastAsia" w:cs="仿宋_GB2312" w:eastAsia="仿宋_GB2312" w:hAnsi="仿宋_GB2312" w:ascii="仿宋_GB2312"/>
        </w:rPr>
      </w:pPr>
      <w:r>
        <w:rPr>
          <w:color w:val="auto"/>
          <w:highlight w:val="none"/>
          <w:sz w:val="28"/>
          <w:szCs w:val="28"/>
          <w:rFonts w:hint="eastAsia" w:cs="仿宋_GB2312" w:eastAsia="仿宋_GB2312" w:hAnsi="仿宋_GB2312" w:ascii="仿宋_GB2312"/>
        </w:rPr>
        <w:t>2、竞投者需具有独立法人资格</w:t>
      </w:r>
      <w:r>
        <w:rPr>
          <w:color w:val="auto"/>
          <w:highlight w:val="none"/>
          <w:sz w:val="28"/>
          <w:szCs w:val="28"/>
          <w:lang w:eastAsia="zh-CN" w:val="en-US"/>
          <w:rFonts w:hint="eastAsia" w:cs="仿宋_GB2312" w:eastAsia="仿宋_GB2312" w:hAnsi="仿宋_GB2312" w:ascii="仿宋_GB2312"/>
        </w:rPr>
        <w:t>企业；</w:t>
      </w:r>
      <w:r>
        <w:rPr>
          <w:color w:val="auto"/>
          <w:highlight w:val="none"/>
          <w:sz w:val="28"/>
          <w:szCs w:val="28"/>
          <w:rFonts w:hint="eastAsia" w:cs="仿宋_GB2312" w:eastAsia="仿宋_GB2312" w:hAnsi="仿宋_GB2312" w:ascii="仿宋_GB2312"/>
        </w:rPr>
        <w:t>具有良好的商业信誉和健全的财务会计制度；</w:t>
      </w:r>
      <w:r>
        <w:rPr>
          <w:color w:val="auto"/>
          <w:highlight w:val="none"/>
          <w:sz w:val="28"/>
          <w:szCs w:val="28"/>
          <w:lang w:eastAsia="zh-CN"/>
          <w:rFonts w:hint="eastAsia" w:cs="仿宋_GB2312" w:eastAsia="仿宋_GB2312" w:hAnsi="仿宋_GB2312" w:ascii="仿宋_GB2312"/>
        </w:rPr>
        <w:t>有物业管理或停车场运营管理服务资质。</w:t>
      </w:r>
      <w:r>
        <w:rPr>
          <w:color w:val="auto"/>
          <w:highlight w:val="none"/>
          <w:sz w:val="28"/>
          <w:szCs w:val="28"/>
          <w:rFonts w:hint="eastAsia" w:cs="仿宋_GB2312" w:eastAsia="仿宋_GB2312" w:hAnsi="仿宋_GB2312" w:ascii="仿宋_GB2312"/>
        </w:rPr>
        <w:t>有依法缴纳税收和社会保障资金的良好记录；参加本次招投标前三年内，在经营活动中没有重大违法记录；不接受联合竞投。在报名截止前携带法人身份证</w:t>
      </w:r>
      <w:r>
        <w:rPr>
          <w:color w:val="auto"/>
          <w:highlight w:val="none"/>
          <w:sz w:val="28"/>
          <w:szCs w:val="28"/>
          <w:lang w:eastAsia="zh-CN"/>
          <w:rFonts w:hint="eastAsia" w:cs="仿宋_GB2312" w:eastAsia="仿宋_GB2312" w:hAnsi="仿宋_GB2312" w:ascii="仿宋_GB2312"/>
        </w:rPr>
        <w:t>（原件、复印件）</w:t>
      </w:r>
      <w:r>
        <w:rPr>
          <w:color w:val="auto"/>
          <w:highlight w:val="none"/>
          <w:sz w:val="28"/>
          <w:szCs w:val="28"/>
          <w:rFonts w:hint="eastAsia" w:cs="仿宋_GB2312" w:eastAsia="仿宋_GB2312" w:hAnsi="仿宋_GB2312" w:ascii="仿宋_GB2312"/>
        </w:rPr>
        <w:t>、营业执照</w:t>
      </w:r>
      <w:r>
        <w:rPr>
          <w:color w:val="auto"/>
          <w:highlight w:val="none"/>
          <w:sz w:val="28"/>
          <w:szCs w:val="28"/>
          <w:lang w:eastAsia="zh-CN"/>
          <w:rFonts w:hint="eastAsia" w:cs="仿宋_GB2312" w:eastAsia="仿宋_GB2312" w:hAnsi="仿宋_GB2312" w:ascii="仿宋_GB2312"/>
        </w:rPr>
        <w:t>（原件、复印件）</w:t>
      </w:r>
      <w:r>
        <w:rPr>
          <w:color w:val="auto"/>
          <w:highlight w:val="none"/>
          <w:sz w:val="28"/>
          <w:szCs w:val="28"/>
          <w:rFonts w:hint="eastAsia" w:cs="仿宋_GB2312" w:eastAsia="仿宋_GB2312" w:hAnsi="仿宋_GB2312" w:ascii="仿宋_GB2312"/>
        </w:rPr>
        <w:t>、保证金缴款单回执等资料到我</w:t>
      </w:r>
      <w:r>
        <w:rPr>
          <w:color w:val="auto"/>
          <w:highlight w:val="none"/>
          <w:sz w:val="28"/>
          <w:szCs w:val="28"/>
          <w:lang w:eastAsia="zh-CN"/>
          <w:rFonts w:hint="eastAsia" w:cs="仿宋_GB2312" w:eastAsia="仿宋_GB2312" w:hAnsi="仿宋_GB2312" w:ascii="仿宋_GB2312"/>
        </w:rPr>
        <w:t>社区</w:t>
      </w:r>
      <w:r>
        <w:rPr>
          <w:color w:val="auto"/>
          <w:highlight w:val="none"/>
          <w:sz w:val="28"/>
          <w:szCs w:val="28"/>
          <w:rFonts w:hint="eastAsia" w:cs="仿宋_GB2312" w:eastAsia="仿宋_GB2312" w:hAnsi="仿宋_GB2312" w:ascii="仿宋_GB2312"/>
        </w:rPr>
        <w:t>进行登记</w:t>
      </w:r>
      <w:r>
        <w:rPr>
          <w:color w:val="auto"/>
          <w:highlight w:val="none"/>
          <w:sz w:val="28"/>
          <w:szCs w:val="28"/>
          <w:lang w:eastAsia="zh-CN"/>
          <w:rFonts w:hint="eastAsia" w:cs="仿宋_GB2312" w:eastAsia="仿宋_GB2312" w:hAnsi="仿宋_GB2312" w:ascii="仿宋_GB2312"/>
        </w:rPr>
        <w:t>报名</w:t>
      </w:r>
      <w:r>
        <w:rPr>
          <w:color w:val="auto"/>
          <w:highlight w:val="none"/>
          <w:sz w:val="28"/>
          <w:szCs w:val="28"/>
          <w:rFonts w:hint="eastAsia" w:cs="仿宋_GB2312" w:eastAsia="仿宋_GB2312" w:hAnsi="仿宋_GB2312" w:ascii="仿宋_GB2312"/>
        </w:rPr>
        <w:t>，领取投标确认书参加投标。</w:t>
      </w:r>
      <w:r>
        <w:rPr>
          <w:color w:val="auto"/>
          <w:highlight w:val="none"/>
          <w:sz w:val="28"/>
          <w:szCs w:val="28"/>
          <w:lang w:eastAsia="zh-CN"/>
          <w:rFonts w:hint="eastAsia" w:cs="仿宋_GB2312" w:eastAsia="仿宋_GB2312" w:hAnsi="仿宋_GB2312" w:ascii="仿宋_GB2312"/>
        </w:rPr>
        <w:t>如代理人报名，则须提交委托代理书。</w:t>
      </w:r>
    </w:p>
    <w:p w14:paraId="005DF967">
      <w:pPr>
        <w:spacing w:lineRule="auto" w:line="240" w:beforeAutospacing="0" w:afterAutospacing="0"/>
        <w:ind w:firstLineChars="200" w:firstLine="560"/>
        <w:rPr>
          <w:color w:val="auto"/>
          <w:highlight w:val="none"/>
          <w:sz w:val="28"/>
          <w:szCs w:val="28"/>
          <w:rFonts w:hint="eastAsia" w:cs="仿宋_GB2312" w:eastAsia="仿宋_GB2312" w:hAnsi="仿宋_GB2312" w:ascii="仿宋_GB2312"/>
        </w:rPr>
      </w:pPr>
      <w:r>
        <w:rPr>
          <w:color w:val="auto"/>
          <w:highlight w:val="none"/>
          <w:sz w:val="28"/>
          <w:szCs w:val="28"/>
          <w:rFonts w:hint="eastAsia" w:cs="仿宋_GB2312" w:eastAsia="仿宋_GB2312" w:hAnsi="仿宋_GB2312" w:ascii="仿宋_GB2312"/>
        </w:rPr>
        <w:t>3、</w:t>
      </w:r>
      <w:r>
        <w:rPr>
          <w:b w:val="0"/>
          <w:bCs w:val="0"/>
          <w:color w:val="auto"/>
          <w:highlight w:val="none"/>
          <w:sz w:val="28"/>
          <w:szCs w:val="28"/>
          <w:rFonts w:hint="eastAsia" w:cs="仿宋_GB2312" w:eastAsia="仿宋_GB2312" w:hAnsi="仿宋_GB2312" w:ascii="仿宋_GB2312"/>
        </w:rPr>
        <w:t>招标人不组织现场踏</w:t>
      </w:r>
      <w:r>
        <w:rPr>
          <w:b w:val="0"/>
          <w:bCs w:val="0"/>
          <w:color w:val="auto"/>
          <w:highlight w:val="none"/>
          <w:sz w:val="28"/>
          <w:szCs w:val="28"/>
          <w:lang w:eastAsia="zh-CN" w:val="en-US"/>
          <w:rFonts w:hint="eastAsia" w:cs="仿宋_GB2312" w:eastAsia="仿宋_GB2312" w:hAnsi="仿宋_GB2312" w:ascii="仿宋_GB2312"/>
        </w:rPr>
        <w:t>勘</w:t>
      </w:r>
      <w:r>
        <w:rPr>
          <w:b w:val="0"/>
          <w:bCs w:val="0"/>
          <w:color w:val="auto"/>
          <w:highlight w:val="none"/>
          <w:sz w:val="28"/>
          <w:szCs w:val="28"/>
          <w:rFonts w:hint="eastAsia" w:cs="仿宋_GB2312" w:eastAsia="仿宋_GB2312" w:hAnsi="仿宋_GB2312" w:ascii="仿宋_GB2312"/>
        </w:rPr>
        <w:t>，投标人须自行对租赁物进行踏</w:t>
      </w:r>
      <w:r>
        <w:rPr>
          <w:b w:val="0"/>
          <w:bCs w:val="0"/>
          <w:color w:val="auto"/>
          <w:highlight w:val="none"/>
          <w:sz w:val="28"/>
          <w:szCs w:val="28"/>
          <w:lang w:eastAsia="zh-CN" w:val="en-US"/>
          <w:rFonts w:hint="eastAsia" w:cs="仿宋_GB2312" w:eastAsia="仿宋_GB2312" w:hAnsi="仿宋_GB2312" w:ascii="仿宋_GB2312"/>
        </w:rPr>
        <w:t>勘</w:t>
      </w:r>
      <w:r>
        <w:rPr>
          <w:b w:val="0"/>
          <w:bCs w:val="0"/>
          <w:color w:val="auto"/>
          <w:highlight w:val="none"/>
          <w:sz w:val="28"/>
          <w:szCs w:val="28"/>
          <w:rFonts w:hint="eastAsia" w:cs="仿宋_GB2312" w:eastAsia="仿宋_GB2312" w:hAnsi="仿宋_GB2312" w:ascii="仿宋_GB2312"/>
        </w:rPr>
        <w:t>，了解租赁物现状情况</w:t>
      </w:r>
      <w:r>
        <w:rPr>
          <w:b w:val="0"/>
          <w:bCs w:val="0"/>
          <w:color w:val="auto"/>
          <w:highlight w:val="none"/>
          <w:sz w:val="28"/>
          <w:szCs w:val="28"/>
          <w:lang w:eastAsia="zh-CN"/>
          <w:rFonts w:hint="eastAsia" w:cs="仿宋_GB2312" w:eastAsia="仿宋_GB2312" w:hAnsi="仿宋_GB2312" w:ascii="仿宋_GB2312"/>
        </w:rPr>
        <w:t>，</w:t>
      </w:r>
      <w:r>
        <w:rPr>
          <w:b w:val="0"/>
          <w:bCs w:val="0"/>
          <w:color w:val="auto"/>
          <w:highlight w:val="none"/>
          <w:sz w:val="28"/>
          <w:szCs w:val="28"/>
          <w:lang w:eastAsia="zh-CN" w:val="en-US"/>
          <w:rFonts w:hint="eastAsia" w:cs="仿宋_GB2312" w:eastAsia="仿宋_GB2312" w:hAnsi="仿宋_GB2312" w:ascii="仿宋_GB2312"/>
        </w:rPr>
        <w:t>以土地现状交付使用</w:t>
      </w:r>
      <w:r>
        <w:rPr>
          <w:b w:val="0"/>
          <w:bCs w:val="0"/>
          <w:color w:val="auto"/>
          <w:highlight w:val="none"/>
          <w:sz w:val="28"/>
          <w:szCs w:val="28"/>
          <w:rFonts w:hint="eastAsia" w:cs="仿宋_GB2312" w:eastAsia="仿宋_GB2312" w:hAnsi="仿宋_GB2312" w:ascii="仿宋_GB2312"/>
        </w:rPr>
        <w:t>。</w:t>
      </w:r>
    </w:p>
    <w:p w14:paraId="44472492">
      <w:pPr>
        <w:spacing w:lineRule="auto" w:line="240" w:beforeAutospacing="0" w:afterAutospacing="0"/>
        <w:ind w:firstLineChars="200" w:firstLine="560"/>
        <w:rPr>
          <w:b w:val="0"/>
          <w:bCs w:val="0"/>
          <w:color w:val="auto"/>
          <w:highlight w:val="none"/>
          <w:sz w:val="28"/>
          <w:szCs w:val="28"/>
          <w:rFonts w:hint="eastAsia" w:cs="仿宋_GB2312" w:eastAsia="仿宋_GB2312" w:hAnsi="仿宋_GB2312" w:ascii="仿宋_GB2312"/>
        </w:rPr>
      </w:pPr>
      <w:r>
        <w:rPr>
          <w:color w:val="auto"/>
          <w:highlight w:val="none"/>
          <w:sz w:val="28"/>
          <w:szCs w:val="28"/>
          <w:rFonts w:hint="eastAsia" w:cs="仿宋_GB2312" w:eastAsia="仿宋_GB2312" w:hAnsi="仿宋_GB2312" w:ascii="仿宋_GB2312"/>
        </w:rPr>
        <w:t>4、</w:t>
      </w:r>
      <w:r>
        <w:rPr>
          <w:b w:val="0"/>
          <w:bCs w:val="0"/>
          <w:color w:val="auto"/>
          <w:highlight w:val="none"/>
          <w:sz w:val="28"/>
          <w:szCs w:val="28"/>
          <w:rFonts w:hint="eastAsia" w:cs="仿宋_GB2312" w:eastAsia="仿宋_GB2312" w:hAnsi="仿宋_GB2312" w:ascii="仿宋_GB2312"/>
        </w:rPr>
        <w:t>如项目用地在租赁期间涉及违法用地相关情况，承租方无条件服从处理，相关费用及责任由承租方承担，如承租方在整改期内未完成整改，我</w:t>
      </w:r>
      <w:r>
        <w:rPr>
          <w:b w:val="0"/>
          <w:bCs w:val="0"/>
          <w:color w:val="auto"/>
          <w:highlight w:val="none"/>
          <w:sz w:val="28"/>
          <w:szCs w:val="28"/>
          <w:lang w:eastAsia="zh-CN"/>
          <w:rFonts w:hint="eastAsia" w:cs="仿宋_GB2312" w:eastAsia="仿宋_GB2312" w:hAnsi="仿宋_GB2312" w:ascii="仿宋_GB2312"/>
        </w:rPr>
        <w:t>社区</w:t>
      </w:r>
      <w:r>
        <w:rPr>
          <w:b w:val="0"/>
          <w:bCs w:val="0"/>
          <w:color w:val="auto"/>
          <w:highlight w:val="none"/>
          <w:sz w:val="28"/>
          <w:szCs w:val="28"/>
          <w:rFonts w:hint="eastAsia" w:cs="仿宋_GB2312" w:eastAsia="仿宋_GB2312" w:hAnsi="仿宋_GB2312" w:ascii="仿宋_GB2312"/>
        </w:rPr>
        <w:t>有权使用承租方所缴纳的按金用于处理该地块的违法用地所产生的费用。</w:t>
      </w:r>
    </w:p>
    <w:p w14:paraId="4D99CEBC">
      <w:pPr>
        <w:spacing w:lineRule="auto" w:line="240" w:beforeAutospacing="0" w:afterAutospacing="0"/>
        <w:ind w:firstLineChars="200" w:firstLine="562"/>
        <w:rPr>
          <w:b w:val="1"/>
          <w:bCs w:val="1"/>
          <w:color w:val="auto"/>
          <w:highlight w:val="none"/>
          <w:sz w:val="28"/>
          <w:szCs w:val="28"/>
          <w:rFonts w:hint="eastAsia" w:cs="黑体" w:eastAsia="黑体" w:hAnsi="黑体" w:ascii="黑体"/>
        </w:rPr>
      </w:pPr>
      <w:r>
        <w:rPr>
          <w:b w:val="1"/>
          <w:bCs w:val="1"/>
          <w:color w:val="auto"/>
          <w:highlight w:val="none"/>
          <w:sz w:val="28"/>
          <w:szCs w:val="28"/>
          <w:rFonts w:hint="eastAsia" w:cs="黑体" w:eastAsia="黑体" w:hAnsi="黑体" w:ascii="黑体"/>
        </w:rPr>
        <w:t>五、投标：</w:t>
      </w:r>
    </w:p>
    <w:p w14:paraId="4CFE3CB5">
      <w:pPr>
        <w:spacing w:lineRule="auto" w:line="240" w:beforeAutospacing="0" w:afterAutospacing="0"/>
        <w:ind w:firstLineChars="200" w:firstLine="560"/>
        <w:rPr>
          <w:color w:val="auto"/>
          <w:highlight w:val="none"/>
          <w:sz w:val="28"/>
          <w:szCs w:val="28"/>
          <w:rFonts w:hint="eastAsia" w:cs="仿宋_GB2312" w:eastAsia="仿宋_GB2312" w:hAnsi="仿宋_GB2312" w:ascii="仿宋_GB2312"/>
        </w:rPr>
      </w:pPr>
      <w:r>
        <w:rPr>
          <w:color w:val="auto"/>
          <w:highlight w:val="none"/>
          <w:sz w:val="28"/>
          <w:szCs w:val="28"/>
          <w:rFonts w:hint="eastAsia" w:cs="仿宋_GB2312" w:eastAsia="仿宋_GB2312" w:hAnsi="仿宋_GB2312" w:ascii="仿宋_GB2312"/>
        </w:rPr>
        <w:t>1、招投标方式和评标办法：采取现场明标出价方式竞投，出价最高且高于底价者为中标单位。</w:t>
      </w:r>
    </w:p>
    <w:p w14:paraId="062345AC">
      <w:pPr>
        <w:spacing w:lineRule="auto" w:line="240" w:beforeAutospacing="0" w:afterAutospacing="0"/>
        <w:ind w:firstLineChars="200" w:firstLine="560"/>
        <w:rPr>
          <w:color w:val="auto"/>
          <w:highlight w:val="none"/>
          <w:sz w:val="28"/>
          <w:szCs w:val="28"/>
          <w:rFonts w:hint="eastAsia" w:cs="仿宋_GB2312" w:eastAsia="仿宋_GB2312" w:hAnsi="仿宋_GB2312" w:ascii="仿宋_GB2312"/>
        </w:rPr>
      </w:pPr>
      <w:r>
        <w:rPr>
          <w:color w:val="auto"/>
          <w:highlight w:val="none"/>
          <w:sz w:val="28"/>
          <w:szCs w:val="28"/>
          <w:rFonts w:hint="eastAsia" w:cs="仿宋_GB2312" w:eastAsia="仿宋_GB2312" w:hAnsi="仿宋_GB2312" w:ascii="仿宋_GB2312"/>
        </w:rPr>
        <w:t>2、第一次竞价可平价，之后每次竞价增加幅度不少于</w:t>
      </w:r>
      <w:r>
        <w:rPr>
          <w:color w:val="auto"/>
          <w:highlight w:val="none"/>
          <w:sz w:val="28"/>
          <w:szCs w:val="28"/>
          <w:lang w:eastAsia="zh-CN" w:val="en-US"/>
          <w:rFonts w:hint="eastAsia" w:cs="仿宋_GB2312" w:eastAsia="仿宋_GB2312" w:hAnsi="仿宋_GB2312" w:ascii="仿宋_GB2312"/>
        </w:rPr>
        <w:t>底价的10%</w:t>
      </w:r>
      <w:r>
        <w:rPr>
          <w:color w:val="auto"/>
          <w:highlight w:val="none"/>
          <w:sz w:val="28"/>
          <w:szCs w:val="28"/>
          <w:rFonts w:hint="eastAsia" w:cs="仿宋_GB2312" w:eastAsia="仿宋_GB2312" w:hAnsi="仿宋_GB2312" w:ascii="仿宋_GB2312"/>
        </w:rPr>
        <w:t>。</w:t>
      </w:r>
    </w:p>
    <w:p w14:paraId="71FFE999">
      <w:pPr>
        <w:spacing w:lineRule="auto" w:line="240" w:beforeAutospacing="0" w:afterAutospacing="0"/>
        <w:ind w:firstLineChars="200" w:firstLine="560"/>
        <w:rPr>
          <w:color w:val="auto"/>
          <w:highlight w:val="none"/>
          <w:sz w:val="28"/>
          <w:szCs w:val="28"/>
          <w:rFonts w:hint="eastAsia" w:cs="仿宋_GB2312" w:eastAsia="仿宋_GB2312" w:hAnsi="仿宋_GB2312" w:ascii="仿宋_GB2312"/>
        </w:rPr>
      </w:pPr>
      <w:r>
        <w:rPr>
          <w:color w:val="auto"/>
          <w:highlight w:val="none"/>
          <w:sz w:val="28"/>
          <w:szCs w:val="28"/>
          <w:rFonts w:hint="eastAsia" w:cs="仿宋_GB2312" w:eastAsia="仿宋_GB2312" w:hAnsi="仿宋_GB2312" w:ascii="仿宋_GB2312"/>
        </w:rPr>
        <w:t>3、如参与竞投者本人无法到场、则代理人需携带委托书和身份证复印件（需加盖公章）到场代理参与竞标。</w:t>
      </w:r>
    </w:p>
    <w:p w14:paraId="1340290B">
      <w:pPr>
        <w:spacing w:lineRule="auto" w:line="240" w:beforeAutospacing="0" w:afterAutospacing="0"/>
        <w:ind w:firstLineChars="200" w:firstLine="560"/>
        <w:rPr>
          <w:color w:val="auto"/>
          <w:highlight w:val="none"/>
          <w:sz w:val="28"/>
          <w:szCs w:val="28"/>
          <w:rFonts w:hint="eastAsia" w:cs="仿宋_GB2312" w:eastAsia="仿宋_GB2312" w:hAnsi="仿宋_GB2312" w:ascii="仿宋_GB2312"/>
        </w:rPr>
      </w:pPr>
      <w:r>
        <w:rPr>
          <w:color w:val="auto"/>
          <w:highlight w:val="none"/>
          <w:sz w:val="28"/>
          <w:szCs w:val="28"/>
          <w:rFonts w:hint="eastAsia" w:cs="仿宋_GB2312" w:eastAsia="仿宋_GB2312" w:hAnsi="仿宋_GB2312" w:ascii="仿宋_GB2312"/>
        </w:rPr>
        <w:t>4、不限参加竞投单位数量，如只有一家单位</w:t>
      </w:r>
      <w:r>
        <w:rPr>
          <w:color w:val="auto"/>
          <w:highlight w:val="none"/>
          <w:sz w:val="28"/>
          <w:szCs w:val="28"/>
          <w:lang w:eastAsia="zh-CN"/>
          <w:rFonts w:hint="eastAsia" w:cs="仿宋_GB2312" w:eastAsia="仿宋_GB2312" w:hAnsi="仿宋_GB2312" w:ascii="仿宋_GB2312"/>
        </w:rPr>
        <w:t>报名</w:t>
      </w:r>
      <w:r>
        <w:rPr>
          <w:color w:val="auto"/>
          <w:highlight w:val="none"/>
          <w:sz w:val="28"/>
          <w:szCs w:val="28"/>
          <w:rFonts w:hint="eastAsia" w:cs="仿宋_GB2312" w:eastAsia="仿宋_GB2312" w:hAnsi="仿宋_GB2312" w:ascii="仿宋_GB2312"/>
        </w:rPr>
        <w:t>竞</w:t>
      </w:r>
      <w:r>
        <w:rPr>
          <w:color w:val="auto"/>
          <w:highlight w:val="none"/>
          <w:sz w:val="28"/>
          <w:szCs w:val="28"/>
          <w:lang w:eastAsia="zh-CN"/>
          <w:rFonts w:hint="eastAsia" w:cs="仿宋_GB2312" w:eastAsia="仿宋_GB2312" w:hAnsi="仿宋_GB2312" w:ascii="仿宋_GB2312"/>
        </w:rPr>
        <w:t>投</w:t>
      </w:r>
      <w:r>
        <w:rPr>
          <w:color w:val="auto"/>
          <w:highlight w:val="none"/>
          <w:sz w:val="28"/>
          <w:szCs w:val="28"/>
          <w:rFonts w:hint="eastAsia" w:cs="仿宋_GB2312" w:eastAsia="仿宋_GB2312" w:hAnsi="仿宋_GB2312" w:ascii="仿宋_GB2312"/>
        </w:rPr>
        <w:t>也正常开标。</w:t>
      </w:r>
    </w:p>
    <w:p w14:paraId="25B5E5C5">
      <w:pPr>
        <w:spacing w:lineRule="auto" w:line="240" w:beforeAutospacing="0" w:afterAutospacing="0"/>
        <w:ind w:firstLineChars="200" w:firstLine="562"/>
        <w:rPr>
          <w:b w:val="1"/>
          <w:bCs w:val="1"/>
          <w:color w:val="auto"/>
          <w:highlight w:val="none"/>
          <w:sz w:val="28"/>
          <w:szCs w:val="28"/>
          <w:rFonts w:hint="eastAsia" w:cs="黑体" w:eastAsia="黑体" w:hAnsi="黑体" w:ascii="黑体"/>
        </w:rPr>
      </w:pPr>
      <w:r>
        <w:rPr>
          <w:b w:val="1"/>
          <w:bCs w:val="1"/>
          <w:color w:val="auto"/>
          <w:highlight w:val="none"/>
          <w:sz w:val="28"/>
          <w:szCs w:val="28"/>
          <w:rFonts w:hint="eastAsia" w:cs="黑体" w:eastAsia="黑体" w:hAnsi="黑体" w:ascii="黑体"/>
        </w:rPr>
        <w:t>六、招投标时间安排：</w:t>
      </w:r>
    </w:p>
    <w:p w14:paraId="4B8DB206">
      <w:pPr>
        <w:spacing w:lineRule="auto" w:line="240" w:beforeAutospacing="0" w:afterAutospacing="0"/>
        <w:ind w:firstLineChars="200" w:firstLine="560"/>
        <w:rPr>
          <w:color w:val="auto"/>
          <w:highlight w:val="none"/>
          <w:sz w:val="28"/>
          <w:szCs w:val="28"/>
          <w:rFonts w:hint="eastAsia" w:cs="仿宋_GB2312" w:eastAsia="仿宋_GB2312" w:hAnsi="仿宋_GB2312" w:ascii="仿宋_GB2312"/>
        </w:rPr>
      </w:pPr>
      <w:r>
        <w:rPr>
          <w:color w:val="auto"/>
          <w:highlight w:val="none"/>
          <w:sz w:val="28"/>
          <w:szCs w:val="28"/>
          <w:rFonts w:hint="eastAsia" w:cs="仿宋_GB2312" w:eastAsia="仿宋_GB2312" w:hAnsi="仿宋_GB2312" w:ascii="仿宋_GB2312"/>
        </w:rPr>
        <w:t>竞标报名截止：</w:t>
      </w:r>
      <w:r>
        <w:rPr>
          <w:i w:val="0"/>
          <w:color w:val="auto"/>
          <w:spacing w:val="0"/>
          <w:highlight w:val="none"/>
          <w:sz w:val="28"/>
          <w:szCs w:val="28"/>
          <w:lang w:eastAsia="zh-CN" w:val="en-US"/>
          <w:rFonts w:hint="eastAsia" w:cs="仿宋_GB2312" w:eastAsia="仿宋_GB2312" w:hAnsi="仿宋_GB2312" w:ascii="仿宋_GB2312"/>
        </w:rPr>
        <w:t>2025</w:t>
      </w:r>
      <w:r>
        <w:rPr>
          <w:i w:val="0"/>
          <w:color w:val="auto"/>
          <w:spacing w:val="0"/>
          <w:highlight w:val="none"/>
          <w:sz w:val="28"/>
          <w:szCs w:val="28"/>
          <w:rFonts w:hint="eastAsia" w:cs="仿宋_GB2312" w:eastAsia="仿宋_GB2312" w:hAnsi="仿宋_GB2312" w:ascii="仿宋_GB2312"/>
        </w:rPr>
        <w:t>年</w:t>
      </w:r>
      <w:r>
        <w:rPr>
          <w:i w:val="0"/>
          <w:color w:val="auto"/>
          <w:spacing w:val="0"/>
          <w:highlight w:val="none"/>
          <w:sz w:val="28"/>
          <w:szCs w:val="28"/>
          <w:lang w:eastAsia="zh-CN" w:val="en-US"/>
          <w:rFonts w:hint="eastAsia" w:cs="仿宋_GB2312" w:eastAsia="仿宋_GB2312" w:hAnsi="仿宋_GB2312" w:ascii="仿宋_GB2312"/>
        </w:rPr>
        <w:t>1</w:t>
      </w:r>
      <w:r>
        <w:rPr>
          <w:i w:val="0"/>
          <w:color w:val="auto"/>
          <w:spacing w:val="0"/>
          <w:highlight w:val="none"/>
          <w:sz w:val="28"/>
          <w:szCs w:val="28"/>
          <w:rFonts w:hint="eastAsia" w:cs="仿宋_GB2312" w:eastAsia="仿宋_GB2312" w:hAnsi="仿宋_GB2312" w:ascii="仿宋_GB2312"/>
        </w:rPr>
        <w:t>月</w:t>
      </w:r>
      <w:r>
        <w:rPr>
          <w:i w:val="0"/>
          <w:color w:val="FF0000"/>
          <w:spacing w:val="0"/>
          <w:highlight w:val="none"/>
          <w:sz w:val="28"/>
          <w:szCs w:val="28"/>
          <w:lang w:eastAsia="zh-CN" w:val="en-US"/>
          <w:rFonts w:hint="eastAsia" w:cs="仿宋_GB2312" w:eastAsia="仿宋_GB2312" w:hAnsi="仿宋_GB2312" w:ascii="仿宋_GB2312"/>
        </w:rPr>
        <w:t>10</w:t>
      </w:r>
      <w:r>
        <w:rPr>
          <w:color w:val="auto"/>
          <w:highlight w:val="none"/>
          <w:sz w:val="28"/>
          <w:szCs w:val="28"/>
          <w:rFonts w:hint="eastAsia" w:cs="仿宋_GB2312" w:eastAsia="仿宋_GB2312" w:hAnsi="仿宋_GB2312" w:ascii="仿宋_GB2312"/>
        </w:rPr>
        <w:t>日1</w:t>
      </w:r>
      <w:r>
        <w:rPr>
          <w:color w:val="auto"/>
          <w:highlight w:val="none"/>
          <w:sz w:val="28"/>
          <w:szCs w:val="28"/>
          <w:lang w:eastAsia="zh-CN" w:val="en-US"/>
          <w:rFonts w:hint="eastAsia" w:cs="仿宋_GB2312" w:eastAsia="仿宋_GB2312" w:hAnsi="仿宋_GB2312" w:ascii="仿宋_GB2312"/>
        </w:rPr>
        <w:t>7:</w:t>
      </w:r>
      <w:r>
        <w:rPr>
          <w:color w:val="auto"/>
          <w:highlight w:val="none"/>
          <w:sz w:val="28"/>
          <w:szCs w:val="28"/>
          <w:rFonts w:hint="eastAsia" w:cs="仿宋_GB2312" w:eastAsia="仿宋_GB2312" w:hAnsi="仿宋_GB2312" w:ascii="仿宋_GB2312"/>
        </w:rPr>
        <w:t>00；</w:t>
      </w:r>
    </w:p>
    <w:p w14:paraId="716F77D1">
      <w:pPr>
        <w:spacing w:lineRule="auto" w:line="240" w:beforeAutospacing="0" w:afterAutospacing="0"/>
        <w:ind w:firstLineChars="200" w:firstLine="560"/>
        <w:rPr>
          <w:color w:val="auto"/>
          <w:highlight w:val="none"/>
          <w:sz w:val="28"/>
          <w:szCs w:val="28"/>
          <w:rFonts w:hint="eastAsia" w:cs="仿宋_GB2312" w:eastAsia="仿宋_GB2312" w:hAnsi="仿宋_GB2312" w:ascii="仿宋_GB2312"/>
        </w:rPr>
      </w:pPr>
      <w:r>
        <w:rPr>
          <w:color w:val="auto"/>
          <w:highlight w:val="none"/>
          <w:sz w:val="28"/>
          <w:szCs w:val="28"/>
          <w:rFonts w:hint="eastAsia" w:cs="仿宋_GB2312" w:eastAsia="仿宋_GB2312" w:hAnsi="仿宋_GB2312" w:ascii="仿宋_GB2312"/>
        </w:rPr>
        <w:t>公开竞标日期：</w:t>
      </w:r>
      <w:r>
        <w:rPr>
          <w:color w:val="auto"/>
          <w:highlight w:val="none"/>
          <w:sz w:val="28"/>
          <w:szCs w:val="28"/>
          <w:lang w:eastAsia="zh-CN"/>
          <w:rFonts w:hint="eastAsia" w:cs="仿宋_GB2312" w:eastAsia="仿宋_GB2312" w:hAnsi="仿宋_GB2312" w:ascii="仿宋_GB2312"/>
        </w:rPr>
        <w:t>另行通知</w:t>
      </w:r>
      <w:r>
        <w:rPr>
          <w:color w:val="auto"/>
          <w:highlight w:val="none"/>
          <w:sz w:val="28"/>
          <w:szCs w:val="28"/>
          <w:rFonts w:hint="eastAsia" w:cs="仿宋_GB2312" w:eastAsia="仿宋_GB2312" w:hAnsi="仿宋_GB2312" w:ascii="仿宋_GB2312"/>
        </w:rPr>
        <w:t>；</w:t>
      </w:r>
    </w:p>
    <w:p w14:paraId="41C57A30">
      <w:pPr>
        <w:spacing w:lineRule="auto" w:line="240" w:beforeAutospacing="0" w:afterAutospacing="0"/>
        <w:ind w:firstLineChars="200" w:firstLine="560"/>
        <w:rPr>
          <w:color w:val="auto"/>
          <w:highlight w:val="none"/>
          <w:sz w:val="28"/>
          <w:szCs w:val="28"/>
          <w:rFonts w:hint="eastAsia" w:cs="仿宋_GB2312" w:eastAsia="仿宋_GB2312" w:hAnsi="仿宋_GB2312" w:ascii="仿宋_GB2312"/>
        </w:rPr>
      </w:pPr>
      <w:r>
        <w:rPr>
          <w:color w:val="auto"/>
          <w:highlight w:val="none"/>
          <w:sz w:val="28"/>
          <w:szCs w:val="28"/>
          <w:rFonts w:hint="eastAsia" w:cs="仿宋_GB2312" w:eastAsia="仿宋_GB2312" w:hAnsi="仿宋_GB2312" w:ascii="仿宋_GB2312"/>
        </w:rPr>
        <w:t>公开竞标地址：东凤镇凤翔大道13号</w:t>
      </w:r>
      <w:r>
        <w:rPr>
          <w:color w:val="auto"/>
          <w:highlight w:val="none"/>
          <w:sz w:val="28"/>
          <w:szCs w:val="28"/>
          <w:lang w:eastAsia="zh-CN"/>
          <w:rFonts w:hint="eastAsia" w:cs="仿宋_GB2312" w:eastAsia="仿宋_GB2312" w:hAnsi="仿宋_GB2312" w:ascii="仿宋_GB2312"/>
        </w:rPr>
        <w:t>平安法治办</w:t>
      </w:r>
      <w:r>
        <w:rPr>
          <w:color w:val="auto"/>
          <w:highlight w:val="none"/>
          <w:sz w:val="28"/>
          <w:szCs w:val="28"/>
          <w:rFonts w:hint="eastAsia" w:cs="仿宋_GB2312" w:eastAsia="仿宋_GB2312" w:hAnsi="仿宋_GB2312" w:ascii="仿宋_GB2312"/>
        </w:rPr>
        <w:t>五楼开标室</w:t>
      </w:r>
      <w:r>
        <w:rPr>
          <w:color w:val="auto"/>
          <w:highlight w:val="none"/>
          <w:sz w:val="28"/>
          <w:szCs w:val="28"/>
          <w:lang w:eastAsia="zh-CN"/>
          <w:rFonts w:hint="eastAsia" w:cs="仿宋_GB2312" w:eastAsia="仿宋_GB2312" w:hAnsi="仿宋_GB2312" w:ascii="仿宋_GB2312"/>
        </w:rPr>
        <w:t>（开标时间、</w:t>
      </w:r>
      <w:r>
        <w:rPr>
          <w:color w:val="auto"/>
          <w:highlight w:val="none"/>
          <w:sz w:val="28"/>
          <w:szCs w:val="28"/>
          <w:lang w:eastAsia="zh-CN" w:val="en-US"/>
          <w:rFonts w:hint="eastAsia" w:cs="仿宋_GB2312" w:eastAsia="仿宋_GB2312" w:hAnsi="仿宋_GB2312" w:ascii="仿宋_GB2312"/>
        </w:rPr>
        <w:t>地点有变化将会电话通知）</w:t>
      </w:r>
      <w:r>
        <w:rPr>
          <w:color w:val="auto"/>
          <w:highlight w:val="none"/>
          <w:sz w:val="28"/>
          <w:szCs w:val="28"/>
          <w:rFonts w:hint="eastAsia" w:cs="仿宋_GB2312" w:eastAsia="仿宋_GB2312" w:hAnsi="仿宋_GB2312" w:ascii="仿宋_GB2312"/>
        </w:rPr>
        <w:t>；</w:t>
      </w:r>
    </w:p>
    <w:p w14:paraId="2818F78F">
      <w:pPr>
        <w:spacing w:lineRule="auto" w:line="240" w:beforeAutospacing="0" w:afterAutospacing="0"/>
        <w:ind w:firstLineChars="200" w:firstLine="560"/>
        <w:rPr>
          <w:color w:val="auto"/>
          <w:highlight w:val="none"/>
          <w:sz w:val="28"/>
          <w:szCs w:val="28"/>
          <w:rFonts w:hint="eastAsia" w:cs="仿宋_GB2312" w:eastAsia="仿宋_GB2312" w:hAnsi="仿宋_GB2312" w:ascii="仿宋_GB2312"/>
        </w:rPr>
      </w:pPr>
      <w:r>
        <w:rPr>
          <w:color w:val="auto"/>
          <w:highlight w:val="none"/>
          <w:sz w:val="28"/>
          <w:szCs w:val="28"/>
          <w:rFonts w:hint="eastAsia" w:cs="仿宋_GB2312" w:eastAsia="仿宋_GB2312" w:hAnsi="仿宋_GB2312" w:ascii="仿宋_GB2312"/>
        </w:rPr>
        <w:t>竞标者迟到10分钟以上作弃权处理；</w:t>
      </w:r>
    </w:p>
    <w:p w14:paraId="7166BB5E">
      <w:pPr>
        <w:spacing w:lineRule="auto" w:line="240" w:beforeAutospacing="0" w:afterAutospacing="0"/>
        <w:ind w:firstLineChars="200" w:firstLine="562"/>
        <w:rPr>
          <w:b w:val="1"/>
          <w:bCs w:val="1"/>
          <w:color w:val="auto"/>
          <w:highlight w:val="none"/>
          <w:sz w:val="28"/>
          <w:szCs w:val="28"/>
          <w:rFonts w:hint="eastAsia" w:cs="黑体" w:eastAsia="黑体" w:hAnsi="黑体" w:ascii="黑体"/>
        </w:rPr>
      </w:pPr>
      <w:r>
        <w:rPr>
          <w:b w:val="1"/>
          <w:bCs w:val="1"/>
          <w:color w:val="auto"/>
          <w:highlight w:val="none"/>
          <w:sz w:val="28"/>
          <w:szCs w:val="28"/>
          <w:rFonts w:hint="eastAsia" w:cs="黑体" w:eastAsia="黑体" w:hAnsi="黑体" w:ascii="黑体"/>
        </w:rPr>
        <w:t>七、其他：</w:t>
      </w:r>
    </w:p>
    <w:p w14:paraId="2E3AA34F">
      <w:pPr>
        <w:spacing w:lineRule="auto" w:line="240" w:beforeAutospacing="0" w:afterAutospacing="0"/>
        <w:ind w:firstLineChars="200" w:firstLine="560"/>
        <w:rPr>
          <w:color w:val="auto"/>
          <w:highlight w:val="none"/>
          <w:sz w:val="28"/>
          <w:szCs w:val="28"/>
          <w:rFonts w:hint="eastAsia" w:cs="仿宋_GB2312" w:eastAsia="仿宋_GB2312" w:hAnsi="仿宋_GB2312" w:ascii="仿宋_GB2312"/>
        </w:rPr>
      </w:pPr>
      <w:r>
        <w:rPr>
          <w:color w:val="auto"/>
          <w:highlight w:val="none"/>
          <w:sz w:val="28"/>
          <w:szCs w:val="28"/>
          <w:rFonts w:hint="eastAsia" w:cs="仿宋_GB2312" w:eastAsia="仿宋_GB2312" w:hAnsi="仿宋_GB2312" w:ascii="仿宋_GB2312"/>
        </w:rPr>
        <w:t>1、中标单位在中标通知书发出之日起三十日内必须缴清合同履约保证金</w:t>
      </w:r>
      <w:r>
        <w:rPr>
          <w:color w:val="auto"/>
          <w:highlight w:val="none"/>
          <w:sz w:val="28"/>
          <w:szCs w:val="28"/>
          <w:lang w:eastAsia="zh-CN"/>
          <w:rFonts w:hint="eastAsia" w:cs="仿宋_GB2312" w:eastAsia="仿宋_GB2312" w:hAnsi="仿宋_GB2312" w:ascii="仿宋_GB2312"/>
        </w:rPr>
        <w:t>（投标保证金自动转为履约保证金）</w:t>
      </w:r>
      <w:r>
        <w:rPr>
          <w:color w:val="auto"/>
          <w:highlight w:val="none"/>
          <w:sz w:val="28"/>
          <w:szCs w:val="28"/>
          <w:rFonts w:hint="eastAsia" w:cs="仿宋_GB2312" w:eastAsia="仿宋_GB2312" w:hAnsi="仿宋_GB2312" w:ascii="仿宋_GB2312"/>
        </w:rPr>
        <w:t>和签订合同，逾期不签订合同，则视作弃标处理，并没收投标保证金。</w:t>
      </w:r>
    </w:p>
    <w:p w14:paraId="657302EE">
      <w:pPr>
        <w:spacing w:lineRule="auto" w:line="240" w:beforeAutospacing="0" w:afterAutospacing="0"/>
        <w:ind w:firstLineChars="200" w:firstLine="560"/>
        <w:rPr>
          <w:color w:val="auto"/>
          <w:highlight w:val="none"/>
          <w:sz w:val="28"/>
          <w:szCs w:val="28"/>
          <w:lang w:eastAsia="zh-CN" w:val="en-US"/>
          <w:rFonts w:hint="default" w:cs="仿宋_GB2312" w:eastAsia="仿宋_GB2312" w:hAnsi="仿宋_GB2312" w:ascii="仿宋_GB2312"/>
        </w:rPr>
      </w:pPr>
      <w:r>
        <w:rPr>
          <w:color w:val="auto"/>
          <w:highlight w:val="none"/>
          <w:sz w:val="28"/>
          <w:szCs w:val="28"/>
          <w:rFonts w:hint="eastAsia" w:cs="仿宋_GB2312" w:eastAsia="仿宋_GB2312" w:hAnsi="仿宋_GB2312" w:ascii="仿宋_GB2312"/>
        </w:rPr>
        <w:t>2、</w:t>
      </w:r>
      <w:r>
        <w:rPr>
          <w:color w:val="auto"/>
          <w:highlight w:val="none"/>
          <w:sz w:val="28"/>
          <w:szCs w:val="28"/>
          <w:lang w:eastAsia="zh-CN"/>
          <w:rFonts w:hint="eastAsia" w:cs="仿宋_GB2312" w:eastAsia="仿宋_GB2312" w:hAnsi="仿宋_GB2312" w:ascii="仿宋_GB2312"/>
        </w:rPr>
        <w:t>中标单位需承担中标项目第三方资产评估费用</w:t>
      </w:r>
      <w:r>
        <w:rPr>
          <w:color w:val="auto"/>
          <w:highlight w:val="none"/>
          <w:sz w:val="28"/>
          <w:szCs w:val="28"/>
          <w:lang w:eastAsia="zh-CN" w:val="en-US"/>
          <w:rFonts w:hint="eastAsia" w:cs="仿宋_GB2312" w:eastAsia="仿宋_GB2312" w:hAnsi="仿宋_GB2312" w:ascii="仿宋_GB2312"/>
        </w:rPr>
        <w:t>900元，</w:t>
      </w:r>
      <w:r>
        <w:rPr>
          <w:color w:val="auto"/>
          <w:highlight w:val="none"/>
          <w:sz w:val="28"/>
          <w:szCs w:val="28"/>
          <w:lang w:eastAsia="zh-CN"/>
          <w:rFonts w:hint="eastAsia" w:cs="仿宋_GB2312" w:eastAsia="仿宋_GB2312" w:hAnsi="仿宋_GB2312" w:ascii="仿宋_GB2312"/>
        </w:rPr>
        <w:t>中标单位</w:t>
      </w:r>
      <w:r>
        <w:rPr>
          <w:color w:val="auto"/>
          <w:highlight w:val="none"/>
          <w:sz w:val="28"/>
          <w:szCs w:val="28"/>
          <w:lang w:eastAsia="zh-CN" w:val="en-US"/>
          <w:rFonts w:hint="eastAsia" w:cs="仿宋_GB2312" w:eastAsia="仿宋_GB2312" w:hAnsi="仿宋_GB2312" w:ascii="仿宋_GB2312"/>
        </w:rPr>
        <w:t>直接与评估公社区结算该笔评估费用。</w:t>
      </w:r>
    </w:p>
    <w:p w14:paraId="1327606F">
      <w:pPr>
        <w:spacing w:lineRule="auto" w:line="240" w:beforeAutospacing="0" w:afterAutospacing="0"/>
        <w:ind w:firstLineChars="200" w:firstLine="560"/>
        <w:rPr>
          <w:color w:val="auto"/>
          <w:highlight w:val="none"/>
          <w:sz w:val="28"/>
          <w:szCs w:val="28"/>
          <w:lang w:eastAsia="zh-CN" w:val="en-US"/>
          <w:rFonts w:hint="eastAsia" w:cs="仿宋_GB2312" w:eastAsia="仿宋_GB2312" w:hAnsi="仿宋_GB2312" w:ascii="仿宋_GB2312"/>
        </w:rPr>
      </w:pPr>
      <w:r>
        <w:rPr>
          <w:color w:val="auto"/>
          <w:highlight w:val="none"/>
          <w:sz w:val="28"/>
          <w:szCs w:val="28"/>
          <w:rFonts w:hint="eastAsia" w:cs="仿宋_GB2312" w:eastAsia="仿宋_GB2312" w:hAnsi="仿宋_GB2312" w:ascii="仿宋_GB2312"/>
        </w:rPr>
        <w:t>3、其他租赁条款于租赁合同中约定。</w:t>
      </w:r>
    </w:p>
    <w:p w14:paraId="64CE5B2C">
      <w:pPr>
        <w:spacing w:lineRule="auto" w:line="240" w:beforeAutospacing="0" w:afterAutospacing="0"/>
        <w:ind w:firstLineChars="200" w:firstLine="560"/>
        <w:rPr>
          <w:color w:val="auto"/>
          <w:highlight w:val="none"/>
          <w:sz w:val="28"/>
          <w:szCs w:val="28"/>
          <w:rFonts w:hint="eastAsia" w:cs="仿宋_GB2312" w:eastAsia="仿宋_GB2312" w:hAnsi="仿宋_GB2312" w:ascii="仿宋_GB2312"/>
        </w:rPr>
      </w:pPr>
      <w:r>
        <w:rPr>
          <w:color w:val="auto"/>
          <w:highlight w:val="none"/>
          <w:sz w:val="28"/>
          <w:szCs w:val="28"/>
          <w:lang w:eastAsia="zh-CN" w:val="en-US"/>
          <w:rFonts w:hint="eastAsia" w:cs="仿宋_GB2312" w:eastAsia="仿宋_GB2312" w:hAnsi="仿宋_GB2312" w:ascii="仿宋_GB2312"/>
        </w:rPr>
        <w:t>4</w:t>
      </w:r>
      <w:r>
        <w:rPr>
          <w:color w:val="auto"/>
          <w:highlight w:val="none"/>
          <w:sz w:val="28"/>
          <w:szCs w:val="28"/>
          <w:rFonts w:hint="eastAsia" w:cs="仿宋_GB2312" w:eastAsia="仿宋_GB2312" w:hAnsi="仿宋_GB2312" w:ascii="仿宋_GB2312"/>
        </w:rPr>
        <w:t>、此租赁方案最终解释权归我</w:t>
      </w:r>
      <w:r>
        <w:rPr>
          <w:color w:val="auto"/>
          <w:highlight w:val="none"/>
          <w:sz w:val="28"/>
          <w:szCs w:val="28"/>
          <w:lang w:eastAsia="zh-CN"/>
          <w:rFonts w:hint="eastAsia" w:cs="仿宋_GB2312" w:eastAsia="仿宋_GB2312" w:hAnsi="仿宋_GB2312" w:ascii="仿宋_GB2312"/>
        </w:rPr>
        <w:t>社区</w:t>
      </w:r>
      <w:r>
        <w:rPr>
          <w:color w:val="auto"/>
          <w:highlight w:val="none"/>
          <w:sz w:val="28"/>
          <w:szCs w:val="28"/>
          <w:rFonts w:hint="eastAsia" w:cs="仿宋_GB2312" w:eastAsia="仿宋_GB2312" w:hAnsi="仿宋_GB2312" w:ascii="仿宋_GB2312"/>
        </w:rPr>
        <w:t>。</w:t>
      </w:r>
    </w:p>
    <w:p w14:paraId="7E5D9BCF">
      <w:pPr>
        <w:spacing w:lineRule="auto" w:line="240" w:beforeAutospacing="0" w:afterAutospacing="0"/>
        <w:ind w:firstLineChars="200" w:firstLine="560"/>
        <w:rPr>
          <w:color w:val="auto"/>
          <w:highlight w:val="none"/>
          <w:sz w:val="28"/>
          <w:szCs w:val="28"/>
          <w:rFonts w:hint="eastAsia" w:cs="仿宋_GB2312" w:eastAsia="仿宋_GB2312" w:hAnsi="仿宋_GB2312" w:ascii="仿宋_GB2312"/>
        </w:rPr>
      </w:pPr>
    </w:p>
    <w:p w14:paraId="173BDF36">
      <w:pPr>
        <w:spacing w:lineRule="auto" w:line="240" w:beforeAutospacing="0" w:afterAutospacing="0"/>
        <w:ind w:firstLineChars="200" w:firstLine="560"/>
        <w:rPr>
          <w:color w:val="auto"/>
          <w:highlight w:val="none"/>
          <w:sz w:val="28"/>
          <w:szCs w:val="28"/>
          <w:lang w:eastAsia="zh-CN"/>
          <w:rFonts w:hint="eastAsia" w:cs="仿宋_GB2312" w:eastAsia="仿宋_GB2312" w:hAnsi="仿宋_GB2312" w:ascii="仿宋_GB2312"/>
        </w:rPr>
        <w:jc w:val="right"/>
      </w:pPr>
      <w:r>
        <w:rPr>
          <w:color w:val="auto"/>
          <w:highlight w:val="none"/>
          <w:sz w:val="28"/>
          <w:szCs w:val="28"/>
          <w:rFonts w:hint="eastAsia" w:cs="仿宋_GB2312" w:eastAsia="仿宋_GB2312" w:hAnsi="仿宋_GB2312" w:ascii="仿宋_GB2312"/>
        </w:rPr>
        <w:t xml:space="preserve">                      中山市东凤镇</w:t>
      </w:r>
      <w:r>
        <w:rPr>
          <w:color w:val="auto"/>
          <w:highlight w:val="none"/>
          <w:sz w:val="28"/>
          <w:szCs w:val="28"/>
          <w:lang w:eastAsia="zh-CN"/>
          <w:rFonts w:hint="eastAsia" w:cs="仿宋_GB2312" w:eastAsia="仿宋_GB2312" w:hAnsi="仿宋_GB2312" w:ascii="仿宋_GB2312"/>
        </w:rPr>
        <w:t>东海社区居民委员会</w:t>
      </w:r>
    </w:p>
    <w:p w14:paraId="4C5CC8D1">
      <w:pPr>
        <w:spacing w:lineRule="auto" w:line="240" w:beforeAutospacing="0" w:afterAutospacing="0"/>
        <w:ind w:firstLineChars="200" w:firstLine="560"/>
        <w:rPr>
          <w:color w:val="auto"/>
          <w:highlight w:val="none"/>
          <w:sz w:val="28"/>
          <w:szCs w:val="28"/>
          <w:rFonts w:hint="eastAsia" w:cs="仿宋_GB2312" w:eastAsia="仿宋_GB2312" w:hAnsi="仿宋_GB2312" w:ascii="仿宋_GB2312"/>
        </w:rPr>
        <w:jc w:val="right"/>
      </w:pPr>
      <w:r>
        <w:rPr>
          <w:color w:val="auto"/>
          <w:highlight w:val="none"/>
          <w:sz w:val="28"/>
          <w:szCs w:val="28"/>
          <w:rFonts w:hint="eastAsia" w:cs="仿宋_GB2312" w:eastAsia="仿宋_GB2312" w:hAnsi="仿宋_GB2312" w:ascii="仿宋_GB2312"/>
        </w:rPr>
        <w:t xml:space="preserve">       </w:t>
      </w:r>
      <w:r>
        <w:rPr>
          <w:i w:val="0"/>
          <w:color w:val="auto"/>
          <w:spacing w:val="0"/>
          <w:highlight w:val="none"/>
          <w:sz w:val="28"/>
          <w:szCs w:val="28"/>
          <w:lang w:eastAsia="zh-CN" w:val="en-US"/>
          <w:rFonts w:hint="eastAsia" w:cs="仿宋_GB2312" w:eastAsia="仿宋_GB2312" w:hAnsi="仿宋_GB2312" w:ascii="仿宋_GB2312"/>
        </w:rPr>
        <w:t>2025</w:t>
      </w:r>
      <w:r>
        <w:rPr>
          <w:i w:val="0"/>
          <w:color w:val="auto"/>
          <w:spacing w:val="0"/>
          <w:highlight w:val="none"/>
          <w:sz w:val="28"/>
          <w:szCs w:val="28"/>
          <w:rFonts w:hint="eastAsia" w:cs="仿宋_GB2312" w:eastAsia="仿宋_GB2312" w:hAnsi="仿宋_GB2312" w:ascii="仿宋_GB2312"/>
        </w:rPr>
        <w:t>年</w:t>
      </w:r>
      <w:r>
        <w:rPr>
          <w:i w:val="0"/>
          <w:color w:val="auto"/>
          <w:spacing w:val="0"/>
          <w:highlight w:val="none"/>
          <w:sz w:val="28"/>
          <w:szCs w:val="28"/>
          <w:lang w:eastAsia="zh-CN" w:val="en-US"/>
          <w:rFonts w:hint="eastAsia" w:cs="仿宋_GB2312" w:eastAsia="仿宋_GB2312" w:hAnsi="仿宋_GB2312" w:ascii="仿宋_GB2312"/>
        </w:rPr>
        <w:t>1</w:t>
      </w:r>
      <w:r>
        <w:rPr>
          <w:color w:val="auto"/>
          <w:highlight w:val="none"/>
          <w:sz w:val="28"/>
          <w:szCs w:val="28"/>
          <w:rFonts w:hint="eastAsia" w:cs="仿宋_GB2312" w:eastAsia="仿宋_GB2312" w:hAnsi="仿宋_GB2312" w:ascii="仿宋_GB2312"/>
        </w:rPr>
        <w:t>月</w:t>
      </w:r>
      <w:r>
        <w:rPr>
          <w:color w:val="auto"/>
          <w:highlight w:val="none"/>
          <w:sz w:val="28"/>
          <w:szCs w:val="28"/>
          <w:lang w:eastAsia="zh-CN" w:val="en-US"/>
          <w:rFonts w:hint="eastAsia" w:cs="仿宋_GB2312" w:eastAsia="仿宋_GB2312" w:hAnsi="仿宋_GB2312" w:ascii="仿宋_GB2312"/>
        </w:rPr>
        <w:t>7</w:t>
      </w:r>
      <w:r>
        <w:rPr>
          <w:color w:val="auto"/>
          <w:highlight w:val="none"/>
          <w:sz w:val="28"/>
          <w:szCs w:val="28"/>
          <w:rFonts w:hint="eastAsia" w:cs="仿宋_GB2312" w:eastAsia="仿宋_GB2312" w:hAnsi="仿宋_GB2312" w:ascii="仿宋_GB2312"/>
        </w:rPr>
        <w:t>日</w:t>
      </w:r>
    </w:p>
    <w:p w14:paraId="63E9EAD2">
      <w:pPr>
        <w:spacing w:lineRule="auto" w:line="240" w:beforeAutospacing="0" w:afterAutospacing="0"/>
        <w:ind w:firstLineChars="0" w:firstLine="0"/>
        <w:rPr>
          <w:bCs w:val="0"/>
          <w:color w:val="auto"/>
          <w:highlight w:val="none"/>
          <w:sz w:val="28"/>
          <w:szCs w:val="28"/>
          <w:lang w:eastAsia="zh-CN"/>
          <w:rFonts w:hint="eastAsia" w:cs="仿宋_GB2312" w:eastAsia="仿宋_GB2312" w:hAnsi="仿宋_GB2312" w:ascii="仿宋_GB2312"/>
        </w:rPr>
      </w:pPr>
    </w:p>
    <w:p w14:paraId="636C2F8D">
      <w:pPr>
        <w:spacing w:lineRule="auto" w:line="240" w:beforeAutospacing="0" w:afterAutospacing="0"/>
        <w:ind w:firstLineChars="0" w:firstLine="0"/>
        <w:rPr>
          <w:bCs w:val="0"/>
          <w:color w:val="auto"/>
          <w:highlight w:val="none"/>
          <w:sz w:val="28"/>
          <w:szCs w:val="28"/>
          <w:lang w:eastAsia="zh-CN"/>
          <w:rFonts w:hint="eastAsia" w:cs="仿宋_GB2312" w:eastAsia="仿宋_GB2312" w:hAnsi="仿宋_GB2312" w:ascii="仿宋_GB2312"/>
        </w:rPr>
      </w:pPr>
    </w:p>
    <w:p w14:paraId="1A116AAF">
      <w:pPr>
        <w:spacing w:lineRule="auto" w:line="240" w:beforeAutospacing="0" w:afterAutospacing="0"/>
        <w:ind w:firstLineChars="200" w:firstLine="560"/>
        <w:rPr>
          <w:color w:val="auto"/>
          <w:highlight w:val="none"/>
          <w:sz w:val="28"/>
          <w:szCs w:val="28"/>
        </w:rPr>
      </w:pPr>
      <w:r>
        <w:rPr>
          <w:bCs w:val="0"/>
          <w:color w:val="auto"/>
          <w:highlight w:val="none"/>
          <w:sz w:val="28"/>
          <w:szCs w:val="28"/>
          <w:lang w:eastAsia="zh-CN"/>
          <w:rFonts w:hint="eastAsia" w:cs="仿宋_GB2312" w:eastAsia="仿宋_GB2312" w:hAnsi="仿宋_GB2312" w:ascii="仿宋_GB2312"/>
        </w:rPr>
        <w:t>参加投标人员签名：</w:t>
      </w:r>
    </w:p>
    <w:sectPr>
      <w:footerReference w:type="default" r:id="rId5"/>
      <w:docGrid w:charSpace="0" w:linePitch="312" w:type="lines"/>
      <w:pgSz w:h="16838" w:w="11906"/>
      <w:pgMar w:gutter="0" w:footer="992" w:header="851" w:bottom="1984" w:top="2098" w:left="1587" w:right="1474"/>
      <w:cols w:num="1" w:space="0"/>
    </w:sectPr>
  </w:body>
</w:document>
</file>

<file path=word/fontTable.xml><?xml version="1.0" encoding="utf-8"?>
<w:fonts xmlns:w="http://schemas.openxmlformats.org/wordprocessingml/2006/main" xmlns:w14="http://schemas.microsoft.com/office/word/2010/wordml" xmlns:r="http://schemas.openxmlformats.org/officeDocument/2006/relationships" xmlns:mc="http://schemas.openxmlformats.org/markup-compatibility/2006" mc:Ignorable="w14">
  <w:font w:name="Times New Roman">
    <w:panose1 w:val="02020603050405020304"/>
    <w:charset w:val="81"/>
    <w:family w:val="auto"/>
    <w:pitch w:val="default"/>
    <w:sig w:usb3="00000000" w:usb2="00000009" w:csb0="400001FF" w:usb1="C0007841" w:csb1="FFFF0000" w:usb0="E0002AFF"/>
  </w:font>
  <w:font w:name="宋体">
    <w:panose1 w:val="02010600030101010101"/>
    <w:charset w:val="7A"/>
    <w:family w:val="auto"/>
    <w:pitch w:val="default"/>
    <w:sig w:usb3="00000000" w:usb2="00000006" w:csb0="00040001" w:usb1="288F0000" w:csb1="00000000" w:usb0="00000003"/>
  </w:font>
  <w:font w:name="Wingdings">
    <w:panose1 w:val="05000000000000000000"/>
    <w:charset w:val="02"/>
    <w:family w:val="auto"/>
    <w:pitch w:val="default"/>
    <w:sig w:usb3="00000000" w:usb2="00000000" w:csb0="80000000" w:usb1="00000000" w:csb1="00000000" w:usb0="00000000"/>
  </w:font>
  <w:font w:name="Arial">
    <w:panose1 w:val="020B0604020202020204"/>
    <w:charset w:val="01"/>
    <w:family w:val="swiss"/>
    <w:pitch w:val="default"/>
    <w:sig w:usb3="00000000" w:usb2="00000009" w:csb0="400001FF" w:usb1="C0007843" w:csb1="FFFF0000" w:usb0="E0002AFF"/>
  </w:font>
  <w:font w:name="黑体">
    <w:panose1 w:val="02010609060101010101"/>
    <w:charset w:val="86"/>
    <w:family w:val="auto"/>
    <w:pitch w:val="default"/>
    <w:sig w:usb3="00000000" w:usb2="00000016" w:csb0="00040001" w:usb1="38CF7CFA" w:csb1="00000000" w:usb0="800002BF"/>
  </w:font>
  <w:font w:name="Courier New">
    <w:panose1 w:val="02070309020205020404"/>
    <w:charset w:val="01"/>
    <w:family w:val="modern"/>
    <w:pitch w:val="default"/>
    <w:sig w:usb3="00000000" w:usb2="00000009" w:csb0="400001FF" w:usb1="C0007843" w:csb1="FFFF0000" w:usb0="E0002AFF"/>
  </w:font>
  <w:font w:name="Symbol">
    <w:panose1 w:val="05050102010706020507"/>
    <w:charset w:val="02"/>
    <w:family w:val="roman"/>
    <w:pitch w:val="default"/>
    <w:sig w:usb3="00000000" w:usb2="00000000" w:csb0="80000000" w:usb1="00000000" w:csb1="00000000" w:usb0="00000000"/>
  </w:font>
  <w:font w:name="Calibri">
    <w:panose1 w:val="020F0502020204030204"/>
    <w:charset w:val="00"/>
    <w:family w:val="swiss"/>
    <w:pitch w:val="default"/>
    <w:sig w:usb3="00000000" w:usb2="00000009" w:csb0="2000019F" w:usb1="4000ACFF" w:csb1="00000000" w:usb0="E10002FF"/>
  </w:font>
  <w:font w:name="仿宋">
    <w:panose1 w:val="02010609060101010101"/>
    <w:charset w:val="86"/>
    <w:family w:val="auto"/>
    <w:pitch w:val="default"/>
    <w:sig w:usb3="00000000" w:usb2="00000016" w:csb0="00040001" w:usb1="38CF7CFA" w:csb1="00000000" w:usb0="800002BF"/>
  </w:font>
  <w:font w:name="仿宋_GB2312">
    <w:panose1 w:val="02010609030101010101"/>
    <w:charset w:val="86"/>
    <w:family w:val="auto"/>
    <w:pitch w:val="default"/>
    <w:sig w:usb3="00000000" w:usb2="00000000" w:csb0="00040000" w:usb1="080E0000" w:csb1="00000000" w:usb0="00000001"/>
  </w:font>
</w:fonts>
</file>

<file path=word/footer1.xml><?xml version="1.0" encoding="utf-8"?>
<w:ftr xmlns:wps="http://schemas.microsoft.com/office/word/2010/wordprocessingShape" xmlns:r="http://schemas.openxmlformats.org/officeDocument/2006/relationships" xmlns:wpg="http://schemas.microsoft.com/office/word/2010/wordprocessingGroup" xmlns:wp="http://schemas.openxmlformats.org/drawingml/2006/wordprocessingDrawing" xmlns:w15="http://schemas.microsoft.com/office/word/2012/wordml" xmlns:wne="http://schemas.microsoft.com/office/word/2006/wordml" xmlns:w14="http://schemas.microsoft.com/office/word/2010/wordml" xmlns:v="urn:schemas-microsoft-com:vml" xmlns:wp14="http://schemas.microsoft.com/office/word/2010/wordprocessingDrawing" xmlns:w10="urn:schemas-microsoft-com:office:word" xmlns:wpi="http://schemas.microsoft.com/office/word/2010/wordprocessingInk"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p w14:paraId="3F2B95EB">
    <w:pPr>
      <w:pStyle w:val="2"/>
    </w:pPr>
    <w:r>
      <w:rPr>
        <w:sz w:val="18"/>
      </w:rPr>
      <mc:AlternateContent>
        <mc:Choice Requires="wps">
          <w:drawing>
            <wp:anchor allowOverlap="1" layoutInCell="1" locked="0" behindDoc="0" relativeHeight="251659264" distR="114300" distL="114300" distB="0" simplePos="0" distT="0">
              <wp:simplePos x="0" y="0"/>
              <mc:AlternateContent>
                <mc:Choice Requires="wp14">
                  <wp:positionH relativeFrom="margin">
                    <wp:align>center</wp:align>
                  </wp:positionH>
                </mc:Choice>
              </mc:AlternateContent>
              <wp:positionV relativeFrom="paragraph">
                <wp:posOffset>0</wp:posOffset>
              </wp:positionV>
              <wp:extent cy="1828800" cx="1828800"/>
              <wp:effectExtent l="0" t="0" r="0" b="0"/>
              <wp:wrapNone/>
              <wp:docPr name="文本框 1" id="1"/>
              <wp:cNvGraphicFramePr/>
              <a:graphic xmlns:a="http://schemas.openxmlformats.org/drawingml/2006/main">
                <a:graphicData uri="http://schemas.microsoft.com/office/word/2010/wordprocessingShape">
                  <wps:wsp>
                    <wps:cNvSpPr txBox="1"/>
                    <wps:spPr>
                      <a:xfrm>
                        <a:off x="0" y="0"/>
                        <a:ext cy="1828800" cx="1828800"/>
                      </a:xfrm>
                      <a:prstGeom prst="rect">
                        <a:avLst/>
                        <a:gdLst/>
                      </a:prstGeom>
                      <a:ln w="6350">
                        <a:noFill/>
                      </a:ln>
                    </wps:spPr>
                    <wps:style>
                      <a:lnRef idx="0">
                        <a:schemeClr val="accent1"/>
                      </a:lnRef>
                      <a:fillRef idx="0">
                        <a:schemeClr val="accent1"/>
                      </a:fillRef>
                      <a:effectRef idx="0">
                        <a:schemeClr val="accent1"/>
                      </a:effectRef>
                      <a:fontRef idx="minor">
                        <a:schemeClr val="dk1"/>
                      </a:fontRef>
                    </wps:style>
                    <wps:txbx>
                      <w:txbxContent>
                        <w:p w14:paraId="23E239D1">
                          <w:pPr>
                            <w:pStyle w:val="2"/>
                          </w:pPr>
                          <w:r>
                            <w:fldChar w:fldCharType="begin"/>
                          </w:r>
                          <w:r>
                            <w:instrText xml:space="preserve"> PAGE  \* MERGEFORMAT </w:instrText>
                          </w:r>
                          <w:r>
                            <w:fldChar w:fldCharType="separate"/>
                          </w:r>
                          <w:r>
                            <w:t>1</w:t>
                          </w:r>
                          <w:r>
                            <w:fldChar w:fldCharType="end"/>
                          </w:r>
                        </w:p>
                      </w:txbxContent>
                    </wps:txbx>
                    <wps:bodyPr compatLnSpc="1" forceAA="0" anchorCtr="0" rtlCol="0" spcCol="0" fromWordArt="0" bIns="0" vert="horz" tIns="0" lIns="0" anchor="t" rIns="0" horzOverflow="overflow" numCol="1" vertOverflow="overflow" spcFirstLastPara="0" wrap="none" rot="0">
                      <a:spAutoFit/>
                    </wps:bodyPr>
                  </wps:wsp>
                </a:graphicData>
              </a:graphic>
            </wp:anchor>
          </w:drawing>
        </mc:Choice>
        <mc:Fallback>
          <w:drawing>
            <wp:anchor simplePos="0" locked="0" layoutInCell="1" allowOverlap="0" behindDoc="0" relativeHeight="0" distR="0" distL="0" distB="0" distT="0">
              <wp:simplePos x="0" y="0"/>
              <wp:positionH relativeFrom="margin">
                <wp:align>center</wp:align>
              </wp:positionH>
              <wp:positionV relativeFrom="paragraph">
                <wp:posOffset>0</wp:posOffset>
              </wp:positionV>
              <wp:extent cy="1828800" cx="1828800"/>
              <wp:wrapNone/>
              <wp:docPr name="_x0000_s1026" id="2"/>
              <a:graphic xmlns:a="http://schemas.openxmlformats.org/drawingml/2006/main">
                <a:graphicData uri="http://schemas.openxmlformats.org/drawingml/2006/picture">
                  <wps:wsp>
                    <wps:cNvSpPr/>
                    <wps:spPr>
                      <a:xfrm>
                        <a:off x="0" y="0"/>
                        <a:ext cy="1828800" cx="1828800"/>
                      </a:xfrm>
                      <a:prstGeom prst="rect">
                        <a:avLst/>
                        <a:gdLst/>
                      </a:prstGeom>
                    </wps:spPr>
                    <wps:txbx inset="0mm,0mm,0mm,0mm" style="mso-fit-shape-to-text:t;">
                      <w:txbxContent>
                        <w:p w14:paraId="23E239D1">
                          <w:pPr>
                            <w:pStyle w:val="2"/>
                          </w:pPr>
                          <w:r>
                            <w:fldChar w:fldCharType="begin"/>
                          </w:r>
                          <w:r>
                            <w:instrText xml:space="preserve"> PAGE  \* MERGEFORMAT </w:instrText>
                          </w:r>
                          <w:r>
                            <w:fldChar w:fldCharType="separate"/>
                          </w:r>
                          <w:r>
                            <w:t>1</w:t>
                          </w:r>
                          <w:r>
                            <w:fldChar w:fldCharType="end"/>
                          </w:r>
                        </w:p>
                      </w:txbxContent>
                    </wps:txbx>
                    <wps:bodyPr anchor="t" rIns="0" bIns="0" lIns="0" anchorCtr="0" rot="0" vert="horz" wrap="square" tIns="0"/>
                  </wps:wsp>
                </a:graphicData>
              </a:graphic>
            </wp:anchor>
          </w:drawing>
        </mc:Fallback>
      </mc:AlternateContent>
    </w:r>
  </w:p>
</w:ftr>
</file>

<file path=word/numbering.xml><?xml version="1.0" encoding="utf-8"?>
<w:numbering xmlns:wps="http://schemas.microsoft.com/office/word/2010/wordprocessingShape" xmlns:r="http://schemas.openxmlformats.org/officeDocument/2006/relationships" xmlns:wne="http://schemas.microsoft.com/office/word/2006/wordml" xmlns:m="http://schemas.openxmlformats.org/officeDocument/2006/math" xmlns:wpg="http://schemas.microsoft.com/office/word/2010/wordprocessingGroup" xmlns:w14="http://schemas.microsoft.com/office/word/2010/wordml" xmlns:w10="urn:schemas-microsoft-com:office:word" xmlns:wpi="http://schemas.microsoft.com/office/word/2010/wordprocessingInk" xmlns:wp14="http://schemas.microsoft.com/office/word/2010/wordprocessingDrawing" xmlns:v="urn:schemas-microsoft-com:vml" xmlns:wp="http://schemas.openxmlformats.org/drawingml/2006/wordprocessingDrawing"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p14">
  <w:abstractNum w:abstractNumId="0">
    <w:nsid w:val="5C69232F"/>
    <w:multiLevelType w:val="singleLevel"/>
    <w:tmpl w:val="5C69232F"/>
    <w:lvl w:tentative="0" w:ilvl="0">
      <w:start w:val="8"/>
      <w:numFmt w:val="decimal"/>
      <w:suff w:val="nothing"/>
      <w:lvlText w:null="0" w:val="%1、"/>
      <w:lvlJc w:val="left"/>
    </w:lvl>
  </w:abstractNum>
  <w:num w:numId="1">
    <w:abstractNumId w:val="0"/>
  </w:num>
</w:numbering>
</file>

<file path=word/settings.xml><?xml version="1.0" encoding="utf-8"?>
<w:settings xmlns:w14="http://schemas.microsoft.com/office/word/2010/wordml" xmlns:r="http://schemas.openxmlformats.org/officeDocument/2006/relationships" xmlns:sl="http://schemas.openxmlformats.org/schemaLibrary/2006/main" xmlns:v="urn:schemas-microsoft-com:vml" xmlns:wpsCustomData="http://www.wps.cn/officeDocument/2013/wpsCustomData" xmlns:w10="urn:schemas-microsoft-com:office:word" xmlns:o="urn:schemas-microsoft-com:office:office" xmlns:w="http://schemas.openxmlformats.org/wordprocessingml/2006/main" xmlns:m="http://schemas.openxmlformats.org/officeDocument/2006/math" xmlns:mc="http://schemas.openxmlformats.org/markup-compatibility/2006" mc:Ignorable="w14">
  <w:bordersDoNotSurroundHeader/>
  <w:bordersDoNotSurroundFooter/>
  <w:defaultTabStop w:val="420"/>
  <w:drawingGridVerticalSpacing w:val="156"/>
  <w:displayHorizontalDrawingGridEvery w:val="1"/>
  <w:displayVerticalDrawingGridEvery w:val="1"/>
  <w:characterSpacingControl w:val="compressPunctuation"/>
  <w:zoom w:percent="120"/>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A4386C"/>
    <w:rsid w:val="02B64B93"/>
    <w:rsid w:val="03AD42CA"/>
    <w:rsid w:val="05D71325"/>
    <w:rsid w:val="07A8744A"/>
    <w:rsid w:val="098807FA"/>
    <w:rsid w:val="09FA11E0"/>
    <w:rsid w:val="0ACB4229"/>
    <w:rsid w:val="0B660046"/>
    <w:rsid w:val="0B71740F"/>
    <w:rsid w:val="10C167EB"/>
    <w:rsid w:val="11621375"/>
    <w:rsid w:val="1313164F"/>
    <w:rsid w:val="14A44A77"/>
    <w:rsid w:val="14E45836"/>
    <w:rsid w:val="15FA5779"/>
    <w:rsid w:val="17A1197A"/>
    <w:rsid w:val="18E74005"/>
    <w:rsid w:val="1B434989"/>
    <w:rsid w:val="1BB75C39"/>
    <w:rsid w:val="1BD91B92"/>
    <w:rsid w:val="1E2C7FF6"/>
    <w:rsid w:val="1FA97D98"/>
    <w:rsid w:val="218A582A"/>
    <w:rsid w:val="21F03B95"/>
    <w:rsid w:val="2454465C"/>
    <w:rsid w:val="253B58D8"/>
    <w:rsid w:val="2548239D"/>
    <w:rsid w:val="25BC6827"/>
    <w:rsid w:val="273066BC"/>
    <w:rsid w:val="29716BEA"/>
    <w:rsid w:val="29D108D4"/>
    <w:rsid w:val="2AC860B7"/>
    <w:rsid w:val="2CA4386C"/>
    <w:rsid w:val="2D9B6278"/>
    <w:rsid w:val="2DBE7325"/>
    <w:rsid w:val="2DF9676E"/>
    <w:rsid w:val="2E882F5E"/>
    <w:rsid w:val="2F76684C"/>
    <w:rsid w:val="319C7392"/>
    <w:rsid w:val="347276AE"/>
    <w:rsid w:val="36A2264C"/>
    <w:rsid w:val="38497762"/>
    <w:rsid w:val="3D8454D5"/>
    <w:rsid w:val="3E5C54C3"/>
    <w:rsid w:val="3E8174A1"/>
    <w:rsid w:val="3F1062FF"/>
    <w:rsid w:val="412F5689"/>
    <w:rsid w:val="42BF4549"/>
    <w:rsid w:val="42D70FD5"/>
    <w:rsid w:val="441F1F30"/>
    <w:rsid w:val="45BC54BB"/>
    <w:rsid w:val="47470079"/>
    <w:rsid w:val="4E593C28"/>
    <w:rsid w:val="4E5B5471"/>
    <w:rsid w:val="4F375809"/>
    <w:rsid w:val="508F720D"/>
    <w:rsid w:val="5179040F"/>
    <w:rsid w:val="53277834"/>
    <w:rsid w:val="53524611"/>
    <w:rsid w:val="557E0ABE"/>
    <w:rsid w:val="59520889"/>
    <w:rsid w:val="5A1225D4"/>
    <w:rsid w:val="5A613B84"/>
    <w:rsid w:val="5D150161"/>
    <w:rsid w:val="5F455CC4"/>
    <w:rsid w:val="5FB149DD"/>
    <w:rsid w:val="61F47390"/>
    <w:rsid w:val="634E06D7"/>
    <w:rsid w:val="65953340"/>
    <w:rsid w:val="660802C2"/>
    <w:rsid w:val="66EA5D84"/>
    <w:rsid w:val="670C04C4"/>
    <w:rsid w:val="67746B3D"/>
    <w:rsid w:val="67A86A9A"/>
    <w:rsid w:val="682B3331"/>
    <w:rsid w:val="68B0273F"/>
    <w:rsid w:val="69E61E22"/>
    <w:rsid w:val="6CE453A5"/>
    <w:rsid w:val="6ED756FD"/>
    <w:rsid w:val="72196775"/>
    <w:rsid w:val="721D760F"/>
    <w:rsid w:val="72A055C4"/>
    <w:rsid w:val="749F757D"/>
    <w:rsid w:val="75980657"/>
    <w:rsid w:val="77FB5A76"/>
    <w:rsid w:val="78420C7F"/>
    <w:rsid w:val="78867117"/>
    <w:rsid w:val="7C305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accent3="accent3" w:t2="dark2" w:t1="dark1" w:accent2="accent2" w:accent1="accent1" w:bg2="light2" w:accent5="accent5" w:accent6="accent6" w:accent4="accent4" w:hyperlink="hyperlink" w:followedHyperlink="followedHyperlink"/>
  <w:decimalSymbol/>
  <w:listSeparator/>
</w:settings>
</file>

<file path=word/styles.xml><?xml version="1.0" encoding="utf-8"?>
<w:styles xmlns:wpsCustomData="http://www.wps.cn/officeDocument/2013/wpsCustomData" xmlns:w10="urn:schemas-microsoft-com:office:word" xmlns:w14="http://schemas.microsoft.com/office/word/2010/wordml" xmlns:r="http://schemas.openxmlformats.org/officeDocument/2006/relationships" xmlns:o="urn:schemas-microsoft-com:office:office" xmlns:w="http://schemas.openxmlformats.org/wordprocessingml/2006/main" xmlns:sl="http://schemas.openxmlformats.org/schemaLibrary/2006/main" xmlns:v="urn:schemas-microsoft-com:vml" xmlns:m="http://schemas.openxmlformats.org/officeDocument/2006/math" xmlns:mc="http://schemas.openxmlformats.org/markup-compatibility/2006" mc:Ignorable="w14">
  <w:docDefaults>
    <w:rPrDefault>
      <w:rPr/>
    </w:rPrDefault>
    <w:pPrDefault/>
  </w:docDefaults>
  <w:latentStyles w:defUIPriority="99" w:defUnhideWhenUsed="1" w:count="260" w:defQFormat="0" w:defSemiHidden="1" w:defLockedState="0">
    <w:lsdException w:unhideWhenUsed="0" w:semiHidden="0" w:uiPriority="0" w:name="Balloon Text"/>
    <w:lsdException w:unhideWhenUsed="0" w:semiHidden="0" w:uiPriority="0" w:name="Block Text"/>
    <w:lsdException w:unhideWhenUsed="0" w:semiHidden="0" w:uiPriority="0" w:name="Body Text"/>
    <w:lsdException w:unhideWhenUsed="0" w:semiHidden="0" w:uiPriority="0" w:name="Body Text 2"/>
    <w:lsdException w:unhideWhenUsed="0" w:semiHidden="0" w:uiPriority="0" w:name="Body Text 3"/>
    <w:lsdException w:unhideWhenUsed="0" w:semiHidden="0" w:uiPriority="0" w:name="Body Text First Indent"/>
    <w:lsdException w:unhideWhenUsed="0" w:semiHidden="0" w:uiPriority="0" w:name="Body Text First Indent 2"/>
    <w:lsdException w:unhideWhenUsed="0" w:semiHidden="0" w:uiPriority="0" w:name="Body Text Indent"/>
    <w:lsdException w:unhideWhenUsed="0" w:semiHidden="0" w:uiPriority="0" w:name="Body Text Indent 2"/>
    <w:lsdException w:unhideWhenUsed="0" w:semiHidden="0" w:uiPriority="0" w:name="Body Text Indent 3"/>
    <w:lsdException w:unhideWhenUsed="0" w:semiHidden="0" w:uiPriority="0" w:name="Closing"/>
    <w:lsdException w:unhideWhenUsed="0" w:semiHidden="0" w:uiPriority="73" w:name="Colorful Grid"/>
    <w:lsdException w:unhideWhenUsed="0" w:semiHidden="0" w:uiPriority="73" w:name="Colorful Grid Accent 1"/>
    <w:lsdException w:unhideWhenUsed="0" w:semiHidden="0" w:uiPriority="73" w:name="Colorful Grid Accent 2"/>
    <w:lsdException w:unhideWhenUsed="0" w:semiHidden="0" w:uiPriority="73" w:name="Colorful Grid Accent 3"/>
    <w:lsdException w:unhideWhenUsed="0" w:semiHidden="0" w:uiPriority="73" w:name="Colorful Grid Accent 4"/>
    <w:lsdException w:unhideWhenUsed="0" w:semiHidden="0" w:uiPriority="73" w:name="Colorful Grid Accent 5"/>
    <w:lsdException w:unhideWhenUsed="0" w:semiHidden="0" w:uiPriority="73" w:name="Colorful Grid Accent 6"/>
    <w:lsdException w:unhideWhenUsed="0" w:semiHidden="0" w:uiPriority="72" w:name="Colorful List"/>
    <w:lsdException w:unhideWhenUsed="0" w:semiHidden="0" w:uiPriority="72" w:name="Colorful List Accent 1"/>
    <w:lsdException w:unhideWhenUsed="0" w:semiHidden="0" w:uiPriority="72" w:name="Colorful List Accent 2"/>
    <w:lsdException w:unhideWhenUsed="0" w:semiHidden="0" w:uiPriority="72" w:name="Colorful List Accent 3"/>
    <w:lsdException w:unhideWhenUsed="0" w:semiHidden="0" w:uiPriority="72" w:name="Colorful List Accent 4"/>
    <w:lsdException w:unhideWhenUsed="0" w:semiHidden="0" w:uiPriority="72" w:name="Colorful List Accent 5"/>
    <w:lsdException w:unhideWhenUsed="0" w:semiHidden="0" w:uiPriority="72" w:name="Colorful List Accent 6"/>
    <w:lsdException w:unhideWhenUsed="0" w:semiHidden="0" w:uiPriority="71" w:name="Colorful Shading"/>
    <w:lsdException w:unhideWhenUsed="0" w:semiHidden="0" w:uiPriority="71" w:name="Colorful Shading Accent 1"/>
    <w:lsdException w:unhideWhenUsed="0" w:semiHidden="0" w:uiPriority="71" w:name="Colorful Shading Accent 2"/>
    <w:lsdException w:unhideWhenUsed="0" w:semiHidden="0" w:uiPriority="71" w:name="Colorful Shading Accent 3"/>
    <w:lsdException w:unhideWhenUsed="0" w:semiHidden="0" w:uiPriority="71" w:name="Colorful Shading Accent 4"/>
    <w:lsdException w:unhideWhenUsed="0" w:semiHidden="0" w:uiPriority="71" w:name="Colorful Shading Accent 5"/>
    <w:lsdException w:unhideWhenUsed="0" w:semiHidden="0" w:uiPriority="71" w:name="Colorful Shading Accent 6"/>
    <w:lsdException w:unhideWhenUsed="0" w:semiHidden="0" w:uiPriority="70" w:name="Dark List"/>
    <w:lsdException w:unhideWhenUsed="0" w:semiHidden="0" w:uiPriority="70" w:name="Dark List Accent 1"/>
    <w:lsdException w:unhideWhenUsed="0" w:semiHidden="0" w:uiPriority="70" w:name="Dark List Accent 2"/>
    <w:lsdException w:unhideWhenUsed="0" w:semiHidden="0" w:uiPriority="70" w:name="Dark List Accent 3"/>
    <w:lsdException w:unhideWhenUsed="0" w:semiHidden="0" w:uiPriority="70" w:name="Dark List Accent 4"/>
    <w:lsdException w:unhideWhenUsed="0" w:semiHidden="0" w:uiPriority="70" w:name="Dark List Accent 5"/>
    <w:lsdException w:unhideWhenUsed="0" w:semiHidden="0" w:uiPriority="70" w:name="Dark List Accent 6"/>
    <w:lsdException w:unhideWhenUsed="0" w:semiHidden="0" w:uiPriority="0" w:name="Date"/>
    <w:lsdException w:unhideWhenUsed="0" w:qFormat="1" w:uiPriority="0" w:name="Default Paragraph Font"/>
    <w:lsdException w:unhideWhenUsed="0" w:semiHidden="0" w:uiPriority="0" w:name="Document Map"/>
    <w:lsdException w:unhideWhenUsed="0" w:semiHidden="0" w:uiPriority="0" w:name="E-mail Signature"/>
    <w:lsdException w:unhideWhenUsed="0" w:semiHidden="0" w:qFormat="1" w:uiPriority="0" w:name="Emphasis"/>
    <w:lsdException w:unhideWhenUsed="0" w:semiHidden="0" w:uiPriority="0" w:name="FollowedHyperlink"/>
    <w:lsdException w:unhideWhenUsed="0" w:semiHidden="0" w:uiPriority="0" w:name="HTML Acronym"/>
    <w:lsdException w:unhideWhenUsed="0" w:semiHidden="0" w:uiPriority="0" w:name="HTML Address"/>
    <w:lsdException w:unhideWhenUsed="0" w:semiHidden="0" w:uiPriority="0" w:name="HTML Cite"/>
    <w:lsdException w:unhideWhenUsed="0" w:semiHidden="0" w:uiPriority="0" w:name="HTML Code"/>
    <w:lsdException w:unhideWhenUsed="0" w:semiHidden="0" w:uiPriority="0" w:name="HTML Definition"/>
    <w:lsdException w:unhideWhenUsed="0" w:semiHidden="0" w:uiPriority="0" w:name="HTML Keyboard"/>
    <w:lsdException w:unhideWhenUsed="0" w:semiHidden="0" w:uiPriority="0" w:name="HTML Preformatted"/>
    <w:lsdException w:unhideWhenUsed="0" w:semiHidden="0" w:uiPriority="0" w:name="HTML Sample"/>
    <w:lsdException w:unhideWhenUsed="0" w:semiHidden="0" w:uiPriority="0" w:name="HTML Typewriter"/>
    <w:lsdException w:unhideWhenUsed="0" w:semiHidden="0" w:uiPriority="0" w:name="HTML Variable"/>
    <w:lsdException w:unhideWhenUsed="0" w:semiHidden="0" w:uiPriority="0" w:name="Hyperlink"/>
    <w:lsdException w:unhideWhenUsed="0" w:semiHidden="0" w:uiPriority="62" w:name="Light Grid"/>
    <w:lsdException w:unhideWhenUsed="0" w:semiHidden="0" w:uiPriority="62" w:name="Light Grid Accent 1"/>
    <w:lsdException w:unhideWhenUsed="0" w:semiHidden="0" w:uiPriority="62" w:name="Light Grid Accent 2"/>
    <w:lsdException w:unhideWhenUsed="0" w:semiHidden="0" w:uiPriority="62" w:name="Light Grid Accent 3"/>
    <w:lsdException w:unhideWhenUsed="0" w:semiHidden="0" w:uiPriority="62" w:name="Light Grid Accent 4"/>
    <w:lsdException w:unhideWhenUsed="0" w:semiHidden="0" w:uiPriority="62" w:name="Light Grid Accent 5"/>
    <w:lsdException w:unhideWhenUsed="0" w:semiHidden="0" w:uiPriority="62" w:name="Light Grid Accent 6"/>
    <w:lsdException w:unhideWhenUsed="0" w:semiHidden="0" w:uiPriority="61" w:name="Light List"/>
    <w:lsdException w:unhideWhenUsed="0" w:semiHidden="0" w:uiPriority="61" w:name="Light List Accent 1"/>
    <w:lsdException w:unhideWhenUsed="0" w:semiHidden="0" w:uiPriority="61" w:name="Light List Accent 2"/>
    <w:lsdException w:unhideWhenUsed="0" w:semiHidden="0" w:uiPriority="61" w:name="Light List Accent 3"/>
    <w:lsdException w:unhideWhenUsed="0" w:semiHidden="0" w:uiPriority="61" w:name="Light List Accent 4"/>
    <w:lsdException w:unhideWhenUsed="0" w:semiHidden="0" w:uiPriority="61" w:name="Light List Accent 5"/>
    <w:lsdException w:unhideWhenUsed="0" w:semiHidden="0" w:uiPriority="61" w:name="Light List Accent 6"/>
    <w:lsdException w:unhideWhenUsed="0" w:semiHidden="0" w:uiPriority="60" w:name="Light Shading"/>
    <w:lsdException w:unhideWhenUsed="0" w:semiHidden="0" w:uiPriority="60" w:name="Light Shading Accent 1"/>
    <w:lsdException w:unhideWhenUsed="0" w:semiHidden="0" w:uiPriority="60" w:name="Light Shading Accent 2"/>
    <w:lsdException w:unhideWhenUsed="0" w:semiHidden="0" w:uiPriority="60" w:name="Light Shading Accent 3"/>
    <w:lsdException w:unhideWhenUsed="0" w:semiHidden="0" w:uiPriority="60" w:name="Light Shading Accent 4"/>
    <w:lsdException w:unhideWhenUsed="0" w:semiHidden="0" w:uiPriority="60" w:name="Light Shading Accent 5"/>
    <w:lsdException w:unhideWhenUsed="0" w:semiHidden="0" w:uiPriority="60" w:name="Light Shading Accent 6"/>
    <w:lsdException w:unhideWhenUsed="0" w:semiHidden="0" w:uiPriority="0" w:name="List"/>
    <w:lsdException w:unhideWhenUsed="0" w:semiHidden="0" w:uiPriority="0" w:name="List 2"/>
    <w:lsdException w:unhideWhenUsed="0" w:semiHidden="0" w:uiPriority="0" w:name="List 3"/>
    <w:lsdException w:unhideWhenUsed="0" w:semiHidden="0" w:uiPriority="0" w:name="List 4"/>
    <w:lsdException w:unhideWhenUsed="0" w:semiHidden="0" w:uiPriority="0" w:name="List 5"/>
    <w:lsdException w:unhideWhenUsed="0" w:semiHidden="0" w:uiPriority="0" w:name="List Bullet"/>
    <w:lsdException w:unhideWhenUsed="0" w:semiHidden="0" w:uiPriority="0" w:name="List Bullet 2"/>
    <w:lsdException w:unhideWhenUsed="0" w:semiHidden="0" w:uiPriority="0" w:name="List Bullet 3"/>
    <w:lsdException w:unhideWhenUsed="0" w:semiHidden="0" w:uiPriority="0" w:name="List Bullet 4"/>
    <w:lsdException w:unhideWhenUsed="0" w:semiHidden="0" w:uiPriority="0" w:name="List Bullet 5"/>
    <w:lsdException w:unhideWhenUsed="0" w:semiHidden="0" w:uiPriority="0" w:name="List Continue"/>
    <w:lsdException w:unhideWhenUsed="0" w:semiHidden="0" w:uiPriority="0" w:name="List Continue 2"/>
    <w:lsdException w:unhideWhenUsed="0" w:semiHidden="0" w:uiPriority="0" w:name="List Continue 3"/>
    <w:lsdException w:unhideWhenUsed="0" w:semiHidden="0" w:uiPriority="0" w:name="List Continue 4"/>
    <w:lsdException w:unhideWhenUsed="0" w:semiHidden="0" w:uiPriority="0" w:name="List Continue 5"/>
    <w:lsdException w:unhideWhenUsed="0" w:semiHidden="0" w:uiPriority="0" w:name="List Number"/>
    <w:lsdException w:unhideWhenUsed="0" w:semiHidden="0" w:uiPriority="0" w:name="List Number 2"/>
    <w:lsdException w:unhideWhenUsed="0" w:semiHidden="0" w:uiPriority="0" w:name="List Number 3"/>
    <w:lsdException w:unhideWhenUsed="0" w:semiHidden="0" w:uiPriority="0" w:name="List Number 4"/>
    <w:lsdException w:unhideWhenUsed="0" w:semiHidden="0" w:uiPriority="0" w:name="List Number 5"/>
    <w:lsdException w:unhideWhenUsed="0" w:semiHidden="0" w:uiPriority="67" w:name="Medium Grid 1"/>
    <w:lsdException w:unhideWhenUsed="0" w:semiHidden="0" w:uiPriority="67" w:name="Medium Grid 1 Accent 1"/>
    <w:lsdException w:unhideWhenUsed="0" w:semiHidden="0" w:uiPriority="67" w:name="Medium Grid 1 Accent 2"/>
    <w:lsdException w:unhideWhenUsed="0" w:semiHidden="0" w:uiPriority="67" w:name="Medium Grid 1 Accent 3"/>
    <w:lsdException w:unhideWhenUsed="0" w:semiHidden="0" w:uiPriority="67" w:name="Medium Grid 1 Accent 4"/>
    <w:lsdException w:unhideWhenUsed="0" w:semiHidden="0" w:uiPriority="67" w:name="Medium Grid 1 Accent 5"/>
    <w:lsdException w:unhideWhenUsed="0" w:semiHidden="0" w:uiPriority="67" w:name="Medium Grid 1 Accent 6"/>
    <w:lsdException w:unhideWhenUsed="0" w:semiHidden="0" w:uiPriority="68" w:name="Medium Grid 2"/>
    <w:lsdException w:unhideWhenUsed="0" w:semiHidden="0" w:uiPriority="68" w:name="Medium Grid 2 Accent 1"/>
    <w:lsdException w:unhideWhenUsed="0" w:semiHidden="0" w:uiPriority="68" w:name="Medium Grid 2 Accent 2"/>
    <w:lsdException w:unhideWhenUsed="0" w:semiHidden="0" w:uiPriority="68" w:name="Medium Grid 2 Accent 3"/>
    <w:lsdException w:unhideWhenUsed="0" w:semiHidden="0" w:uiPriority="68" w:name="Medium Grid 2 Accent 4"/>
    <w:lsdException w:unhideWhenUsed="0" w:semiHidden="0" w:uiPriority="68" w:name="Medium Grid 2 Accent 5"/>
    <w:lsdException w:unhideWhenUsed="0" w:semiHidden="0" w:uiPriority="68" w:name="Medium Grid 2 Accent 6"/>
    <w:lsdException w:unhideWhenUsed="0" w:semiHidden="0" w:uiPriority="69" w:name="Medium Grid 3"/>
    <w:lsdException w:unhideWhenUsed="0" w:semiHidden="0" w:uiPriority="69" w:name="Medium Grid 3 Accent 1"/>
    <w:lsdException w:unhideWhenUsed="0" w:semiHidden="0" w:uiPriority="69" w:name="Medium Grid 3 Accent 2"/>
    <w:lsdException w:unhideWhenUsed="0" w:semiHidden="0" w:uiPriority="69" w:name="Medium Grid 3 Accent 3"/>
    <w:lsdException w:unhideWhenUsed="0" w:semiHidden="0" w:uiPriority="69" w:name="Medium Grid 3 Accent 4"/>
    <w:lsdException w:unhideWhenUsed="0" w:semiHidden="0" w:uiPriority="69" w:name="Medium Grid 3 Accent 5"/>
    <w:lsdException w:unhideWhenUsed="0" w:semiHidden="0" w:uiPriority="69" w:name="Medium Grid 3 Accent 6"/>
    <w:lsdException w:unhideWhenUsed="0" w:semiHidden="0" w:uiPriority="65" w:name="Medium List 1"/>
    <w:lsdException w:unhideWhenUsed="0" w:semiHidden="0" w:uiPriority="65" w:name="Medium List 1 Accent 1"/>
    <w:lsdException w:unhideWhenUsed="0" w:semiHidden="0" w:uiPriority="65" w:name="Medium List 1 Accent 2"/>
    <w:lsdException w:unhideWhenUsed="0" w:semiHidden="0" w:uiPriority="65" w:name="Medium List 1 Accent 3"/>
    <w:lsdException w:unhideWhenUsed="0" w:semiHidden="0" w:uiPriority="65" w:name="Medium List 1 Accent 4"/>
    <w:lsdException w:unhideWhenUsed="0" w:semiHidden="0" w:uiPriority="65" w:name="Medium List 1 Accent 5"/>
    <w:lsdException w:unhideWhenUsed="0" w:semiHidden="0" w:uiPriority="65" w:name="Medium List 1 Accent 6"/>
    <w:lsdException w:unhideWhenUsed="0" w:semiHidden="0" w:uiPriority="66" w:name="Medium List 2"/>
    <w:lsdException w:unhideWhenUsed="0" w:semiHidden="0" w:uiPriority="66" w:name="Medium List 2 Accent 1"/>
    <w:lsdException w:unhideWhenUsed="0" w:semiHidden="0" w:uiPriority="66" w:name="Medium List 2 Accent 2"/>
    <w:lsdException w:unhideWhenUsed="0" w:semiHidden="0" w:uiPriority="66" w:name="Medium List 2 Accent 3"/>
    <w:lsdException w:unhideWhenUsed="0" w:semiHidden="0" w:uiPriority="66" w:name="Medium List 2 Accent 4"/>
    <w:lsdException w:unhideWhenUsed="0" w:semiHidden="0" w:uiPriority="66" w:name="Medium List 2 Accent 5"/>
    <w:lsdException w:unhideWhenUsed="0" w:semiHidden="0" w:uiPriority="66" w:name="Medium List 2 Accent 6"/>
    <w:lsdException w:unhideWhenUsed="0" w:semiHidden="0" w:uiPriority="63" w:name="Medium Shading 1"/>
    <w:lsdException w:unhideWhenUsed="0" w:semiHidden="0" w:uiPriority="63" w:name="Medium Shading 1 Accent 1"/>
    <w:lsdException w:unhideWhenUsed="0" w:semiHidden="0" w:uiPriority="63" w:name="Medium Shading 1 Accent 2"/>
    <w:lsdException w:unhideWhenUsed="0" w:semiHidden="0" w:uiPriority="63" w:name="Medium Shading 1 Accent 3"/>
    <w:lsdException w:unhideWhenUsed="0" w:semiHidden="0" w:uiPriority="63" w:name="Medium Shading 1 Accent 4"/>
    <w:lsdException w:unhideWhenUsed="0" w:semiHidden="0" w:uiPriority="63" w:name="Medium Shading 1 Accent 5"/>
    <w:lsdException w:unhideWhenUsed="0" w:semiHidden="0" w:uiPriority="63" w:name="Medium Shading 1 Accent 6"/>
    <w:lsdException w:unhideWhenUsed="0" w:semiHidden="0" w:uiPriority="64" w:name="Medium Shading 2"/>
    <w:lsdException w:unhideWhenUsed="0" w:semiHidden="0" w:uiPriority="64" w:name="Medium Shading 2 Accent 1"/>
    <w:lsdException w:unhideWhenUsed="0" w:semiHidden="0" w:uiPriority="64" w:name="Medium Shading 2 Accent 2"/>
    <w:lsdException w:unhideWhenUsed="0" w:semiHidden="0" w:uiPriority="64" w:name="Medium Shading 2 Accent 3"/>
    <w:lsdException w:unhideWhenUsed="0" w:semiHidden="0" w:uiPriority="64" w:name="Medium Shading 2 Accent 4"/>
    <w:lsdException w:unhideWhenUsed="0" w:semiHidden="0" w:uiPriority="64" w:name="Medium Shading 2 Accent 5"/>
    <w:lsdException w:unhideWhenUsed="0" w:semiHidden="0" w:uiPriority="64" w:name="Medium Shading 2 Accent 6"/>
    <w:lsdException w:unhideWhenUsed="0" w:semiHidden="0" w:uiPriority="0" w:name="Message Header"/>
    <w:lsdException w:unhideWhenUsed="0" w:semiHidden="0" w:qFormat="1" w:uiPriority="0" w:name="Normal"/>
    <w:lsdException w:unhideWhenUsed="0" w:semiHidden="0" w:qFormat="1" w:uiPriority="0" w:name="Normal (Web)"/>
    <w:lsdException w:unhideWhenUsed="0" w:semiHidden="0" w:uiPriority="0" w:name="Normal Indent"/>
    <w:lsdException w:unhideWhenUsed="0" w:qFormat="1" w:uiPriority="0" w:name="Normal Table"/>
    <w:lsdException w:unhideWhenUsed="0" w:semiHidden="0" w:uiPriority="0" w:name="Note Heading"/>
    <w:lsdException w:unhideWhenUsed="0" w:semiHidden="0" w:uiPriority="0" w:name="Plain Text"/>
    <w:lsdException w:unhideWhenUsed="0" w:semiHidden="0" w:uiPriority="0" w:name="Salutation"/>
    <w:lsdException w:unhideWhenUsed="0" w:semiHidden="0" w:uiPriority="0" w:name="Signature"/>
    <w:lsdException w:unhideWhenUsed="0" w:semiHidden="0" w:qFormat="1" w:uiPriority="0" w:name="Strong"/>
    <w:lsdException w:unhideWhenUsed="0" w:semiHidden="0" w:qFormat="1" w:uiPriority="0" w:name="Subtitle"/>
    <w:lsdException w:unhideWhenUsed="0" w:semiHidden="0" w:uiPriority="0" w:name="Table 3D effects 1"/>
    <w:lsdException w:unhideWhenUsed="0" w:semiHidden="0" w:uiPriority="0" w:name="Table 3D effects 2"/>
    <w:lsdException w:unhideWhenUsed="0" w:semiHidden="0" w:uiPriority="0" w:name="Table 3D effects 3"/>
    <w:lsdException w:unhideWhenUsed="0" w:semiHidden="0" w:uiPriority="0" w:name="Table Classic 1"/>
    <w:lsdException w:unhideWhenUsed="0" w:semiHidden="0" w:uiPriority="0" w:name="Table Classic 2"/>
    <w:lsdException w:unhideWhenUsed="0" w:semiHidden="0" w:uiPriority="0" w:name="Table Classic 3"/>
    <w:lsdException w:unhideWhenUsed="0" w:semiHidden="0" w:uiPriority="0" w:name="Table Classic 4"/>
    <w:lsdException w:unhideWhenUsed="0" w:semiHidden="0" w:uiPriority="0" w:name="Table Colorful 1"/>
    <w:lsdException w:unhideWhenUsed="0" w:semiHidden="0" w:uiPriority="0" w:name="Table Colorful 2"/>
    <w:lsdException w:unhideWhenUsed="0" w:semiHidden="0" w:uiPriority="0" w:name="Table Colorful 3"/>
    <w:lsdException w:unhideWhenUsed="0" w:semiHidden="0" w:uiPriority="0" w:name="Table Columns 1"/>
    <w:lsdException w:unhideWhenUsed="0" w:semiHidden="0" w:uiPriority="0" w:name="Table Columns 2"/>
    <w:lsdException w:unhideWhenUsed="0" w:semiHidden="0" w:uiPriority="0" w:name="Table Columns 3"/>
    <w:lsdException w:unhideWhenUsed="0" w:semiHidden="0" w:uiPriority="0" w:name="Table Columns 4"/>
    <w:lsdException w:unhideWhenUsed="0" w:semiHidden="0" w:uiPriority="0" w:name="Table Columns 5"/>
    <w:lsdException w:unhideWhenUsed="0" w:semiHidden="0" w:uiPriority="0" w:name="Table Contemporary"/>
    <w:lsdException w:unhideWhenUsed="0" w:semiHidden="0" w:uiPriority="0" w:name="Table Elegant"/>
    <w:lsdException w:unhideWhenUsed="0" w:semiHidden="0" w:qFormat="1" w:uiPriority="0" w:name="Table Grid"/>
    <w:lsdException w:unhideWhenUsed="0" w:semiHidden="0" w:uiPriority="0" w:name="Table Grid 1"/>
    <w:lsdException w:unhideWhenUsed="0" w:semiHidden="0" w:uiPriority="0" w:name="Table Grid 2"/>
    <w:lsdException w:unhideWhenUsed="0" w:semiHidden="0" w:uiPriority="0" w:name="Table Grid 3"/>
    <w:lsdException w:unhideWhenUsed="0" w:semiHidden="0" w:uiPriority="0" w:name="Table Grid 4"/>
    <w:lsdException w:unhideWhenUsed="0" w:semiHidden="0" w:uiPriority="0" w:name="Table Grid 5"/>
    <w:lsdException w:unhideWhenUsed="0" w:semiHidden="0" w:uiPriority="0" w:name="Table Grid 6"/>
    <w:lsdException w:unhideWhenUsed="0" w:semiHidden="0" w:uiPriority="0" w:name="Table Grid 7"/>
    <w:lsdException w:unhideWhenUsed="0" w:semiHidden="0" w:uiPriority="0" w:name="Table Grid 8"/>
    <w:lsdException w:unhideWhenUsed="0" w:semiHidden="0" w:uiPriority="0" w:name="Table List 1"/>
    <w:lsdException w:unhideWhenUsed="0" w:semiHidden="0" w:uiPriority="0" w:name="Table List 2"/>
    <w:lsdException w:unhideWhenUsed="0" w:semiHidden="0" w:uiPriority="0" w:name="Table List 3"/>
    <w:lsdException w:unhideWhenUsed="0" w:semiHidden="0" w:uiPriority="0" w:name="Table List 4"/>
    <w:lsdException w:unhideWhenUsed="0" w:semiHidden="0" w:uiPriority="0" w:name="Table List 5"/>
    <w:lsdException w:unhideWhenUsed="0" w:semiHidden="0" w:uiPriority="0" w:name="Table List 6"/>
    <w:lsdException w:unhideWhenUsed="0" w:semiHidden="0" w:uiPriority="0" w:name="Table List 7"/>
    <w:lsdException w:unhideWhenUsed="0" w:semiHidden="0" w:uiPriority="0" w:name="Table List 8"/>
    <w:lsdException w:unhideWhenUsed="0" w:semiHidden="0" w:uiPriority="0" w:name="Table Professional"/>
    <w:lsdException w:unhideWhenUsed="0" w:semiHidden="0" w:uiPriority="0" w:name="Table Simple 1"/>
    <w:lsdException w:unhideWhenUsed="0" w:semiHidden="0" w:uiPriority="0" w:name="Table Simple 2"/>
    <w:lsdException w:unhideWhenUsed="0" w:semiHidden="0" w:uiPriority="0" w:name="Table Simple 3"/>
    <w:lsdException w:unhideWhenUsed="0" w:semiHidden="0" w:uiPriority="0" w:name="Table Subtle 1"/>
    <w:lsdException w:unhideWhenUsed="0" w:semiHidden="0" w:uiPriority="0" w:name="Table Subtle 2"/>
    <w:lsdException w:unhideWhenUsed="0" w:semiHidden="0" w:uiPriority="0" w:name="Table Theme"/>
    <w:lsdException w:unhideWhenUsed="0" w:semiHidden="0" w:uiPriority="0" w:name="Table Web 1"/>
    <w:lsdException w:unhideWhenUsed="0" w:semiHidden="0" w:uiPriority="0" w:name="Table Web 2"/>
    <w:lsdException w:unhideWhenUsed="0" w:semiHidden="0" w:uiPriority="0" w:name="Table Web 3"/>
    <w:lsdException w:unhideWhenUsed="0" w:semiHidden="0" w:qFormat="1" w:uiPriority="0" w:name="Title"/>
    <w:lsdException w:unhideWhenUsed="0" w:semiHidden="0" w:uiPriority="0" w:name="annotation reference"/>
    <w:lsdException w:unhideWhenUsed="0" w:semiHidden="0" w:uiPriority="0" w:name="annotation subject"/>
    <w:lsdException w:unhideWhenUsed="0" w:semiHidden="0" w:uiPriority="0" w:name="annotation text"/>
    <w:lsdException w:qFormat="1" w:uiPriority="0" w:name="caption"/>
    <w:lsdException w:unhideWhenUsed="0" w:semiHidden="0" w:uiPriority="0" w:name="endnote reference"/>
    <w:lsdException w:unhideWhenUsed="0" w:semiHidden="0" w:uiPriority="0" w:name="endnote text"/>
    <w:lsdException w:unhideWhenUsed="0" w:semiHidden="0" w:uiPriority="0" w:name="envelope address"/>
    <w:lsdException w:unhideWhenUsed="0" w:semiHidden="0" w:uiPriority="0" w:name="envelope return"/>
    <w:lsdException w:unhideWhenUsed="0" w:semiHidden="0" w:qFormat="1" w:uiPriority="0" w:name="footer"/>
    <w:lsdException w:unhideWhenUsed="0" w:semiHidden="0" w:uiPriority="0" w:name="footnote reference"/>
    <w:lsdException w:unhideWhenUsed="0" w:semiHidden="0" w:uiPriority="0" w:name="footnote text"/>
    <w:lsdException w:unhideWhenUsed="0" w:semiHidden="0" w:qFormat="1" w:uiPriority="0" w:name="header"/>
    <w:lsdException w:unhideWhenUsed="0" w:semiHidden="0" w:qFormat="1" w:uiPriority="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semiHidden="0" w:uiPriority="0" w:name="index 1"/>
    <w:lsdException w:unhideWhenUsed="0" w:semiHidden="0" w:uiPriority="0" w:name="index 2"/>
    <w:lsdException w:unhideWhenUsed="0" w:semiHidden="0" w:uiPriority="0" w:name="index 3"/>
    <w:lsdException w:unhideWhenUsed="0" w:semiHidden="0" w:uiPriority="0" w:name="index 4"/>
    <w:lsdException w:unhideWhenUsed="0" w:semiHidden="0" w:uiPriority="0" w:name="index 5"/>
    <w:lsdException w:unhideWhenUsed="0" w:semiHidden="0" w:uiPriority="0" w:name="index 6"/>
    <w:lsdException w:unhideWhenUsed="0" w:semiHidden="0" w:uiPriority="0" w:name="index 7"/>
    <w:lsdException w:unhideWhenUsed="0" w:semiHidden="0" w:uiPriority="0" w:name="index 8"/>
    <w:lsdException w:unhideWhenUsed="0" w:semiHidden="0" w:uiPriority="0" w:name="index 9"/>
    <w:lsdException w:unhideWhenUsed="0" w:semiHidden="0" w:uiPriority="0" w:name="index heading"/>
    <w:lsdException w:unhideWhenUsed="0" w:semiHidden="0" w:uiPriority="0" w:name="line number"/>
    <w:lsdException w:unhideWhenUsed="0" w:semiHidden="0" w:uiPriority="0" w:name="macro"/>
    <w:lsdException w:unhideWhenUsed="0" w:semiHidden="0" w:uiPriority="0" w:name="page number"/>
    <w:lsdException w:unhideWhenUsed="0" w:semiHidden="0" w:uiPriority="0" w:name="table of authorities"/>
    <w:lsdException w:unhideWhenUsed="0" w:semiHidden="0" w:uiPriority="0" w:name="table of figures"/>
    <w:lsdException w:unhideWhenUsed="0" w:semiHidden="0" w:uiPriority="0" w:name="toa heading"/>
    <w:lsdException w:unhideWhenUsed="0" w:semiHidden="0" w:uiPriority="0" w:name="toc 1"/>
    <w:lsdException w:unhideWhenUsed="0" w:semiHidden="0" w:uiPriority="0" w:name="toc 2"/>
    <w:lsdException w:unhideWhenUsed="0" w:semiHidden="0" w:uiPriority="0" w:name="toc 3"/>
    <w:lsdException w:unhideWhenUsed="0" w:semiHidden="0" w:uiPriority="0" w:name="toc 4"/>
    <w:lsdException w:unhideWhenUsed="0" w:semiHidden="0" w:uiPriority="0" w:name="toc 5"/>
    <w:lsdException w:unhideWhenUsed="0" w:semiHidden="0" w:uiPriority="0" w:name="toc 6"/>
    <w:lsdException w:unhideWhenUsed="0" w:semiHidden="0" w:uiPriority="0" w:name="toc 7"/>
    <w:lsdException w:unhideWhenUsed="0" w:semiHidden="0" w:uiPriority="0" w:name="toc 8"/>
    <w:lsdException w:unhideWhenUsed="0" w:semiHidden="0" w:uiPriority="0" w:name="toc 9"/>
  </w:latentStyles>
  <w:style w:default="1" w:styleId="1" w:type="paragraph">
    <w:name w:val="Normal"/>
    <w:uiPriority w:val="0"/>
    <w:qFormat/>
    <w:pPr>
      <w:widowControl w:val="0"/>
      <w:jc w:val="both"/>
    </w:pPr>
    <w:rPr>
      <w:kern w:val="2"/>
      <w:sz w:val="21"/>
      <w:szCs w:val="24"/>
      <w:lang w:bidi="ar-SA" w:eastAsia="zh-CN" w:val="en-US"/>
      <w:rFonts w:cstheme="minorBidi" w:eastAsiaTheme="minorEastAsia" w:hAnsiTheme="minorHAnsi" w:asciiTheme="minorHAnsi"/>
    </w:rPr>
  </w:style>
  <w:style w:default="1" w:styleId="7" w:type="character">
    <w:name w:val="Default Paragraph Font"/>
    <w:uiPriority w:val="0"/>
    <w:semiHidden/>
    <w:qFormat/>
  </w:style>
  <w:style w:default="1" w:styleId="5" w:type="table">
    <w:name w:val="Normal Table"/>
    <w:uiPriority w:val="0"/>
    <w:semiHidden/>
    <w:qFormat/>
    <w:tblPr>
      <w:tblCellMar>
        <w:top w:w="0" w:type="dxa"/>
        <w:bottom w:w="0" w:type="dxa"/>
        <w:left w:w="108" w:type="dxa"/>
        <w:right w:w="108" w:type="dxa"/>
      </w:tblCellMar>
    </w:tblPr>
  </w:style>
  <w:style w:default="0" w:styleId="2" w:type="paragraph">
    <w:name w:val="footer"/>
    <w:basedOn w:val="1"/>
    <w:uiPriority w:val="0"/>
    <w:qFormat/>
    <w:pPr>
      <w:snapToGrid w:val="0"/>
      <w:tabs>
        <w:tab w:pos="4153" w:val="center"/>
        <w:tab w:pos="8306" w:val="right"/>
      </w:tabs>
      <w:jc w:val="left"/>
    </w:pPr>
    <w:rPr>
      <w:sz w:val="18"/>
    </w:rPr>
  </w:style>
  <w:style w:default="0" w:styleId="3" w:type="paragraph">
    <w:name w:val="header"/>
    <w:basedOn w:val="1"/>
    <w:uiPriority w:val="0"/>
    <w:qFormat/>
    <w:pPr>
      <w:outlineLvl w:val="9"/>
      <w:snapToGrid w:val="0"/>
      <w:pBdr>
        <w:top w:frame="off" w:val="none" w:shadow="off" w:sz="0" w:color="auto" w:space="1"/>
        <w:left w:frame="off" w:val="none" w:shadow="off" w:sz="0" w:color="auto" w:space="4"/>
        <w:bottom w:frame="off" w:val="none" w:shadow="off" w:sz="0" w:color="auto" w:space="1"/>
        <w:right w:frame="off" w:val="none" w:shadow="off" w:sz="0" w:color="auto" w:space="4"/>
      </w:pBdr>
      <w:tabs>
        <w:tab w:pos="4153" w:val="center"/>
        <w:tab w:pos="8306" w:val="right"/>
      </w:tabs>
      <w:spacing w:lineRule="auto" w:line="240" w:beforeAutospacing="0" w:afterAutospacing="0"/>
      <w:jc w:val="both"/>
    </w:pPr>
    <w:rPr>
      <w:sz w:val="18"/>
    </w:rPr>
  </w:style>
  <w:style w:default="0" w:styleId="4" w:type="paragraph">
    <w:name w:val="Normal (Web)"/>
    <w:basedOn w:val="1"/>
    <w:uiPriority w:val="0"/>
    <w:qFormat/>
    <w:pPr>
      <w:spacing w:lineRule="auto" w:before="0" w:afterAutospacing="1" w:beforeAutospacing="1" w:after="0"/>
      <w:ind w:right="0" w:left="0"/>
      <w:jc w:val="left"/>
    </w:pPr>
    <w:rPr>
      <w:kern w:val="0"/>
      <w:sz w:val="24"/>
      <w:lang w:bidi="ar" w:eastAsia="zh-CN" w:val="en-US"/>
    </w:rPr>
  </w:style>
  <w:style w:default="0" w:styleId="6" w:type="table">
    <w:name w:val="Table Grid"/>
    <w:basedOn w:val="5"/>
    <w:uiPriority w:val="0"/>
    <w:qFormat/>
    <w:pPr>
      <w:widowControl w:val="0"/>
      <w:jc w:val="both"/>
    </w:pPr>
    <w:tblPr>
      <w:tblBorders>
        <w:top w:frame="off" w:val="single" w:shadow="off" w:sz="4" w:color="auto" w:space="0"/>
        <w:left w:frame="off" w:val="single" w:shadow="off" w:sz="4" w:color="auto" w:space="0"/>
        <w:bottom w:frame="off" w:val="single" w:shadow="off" w:sz="4" w:color="auto" w:space="0"/>
        <w:right w:frame="off" w:val="single" w:shadow="off" w:sz="4" w:color="auto" w:space="0"/>
        <w:insideH w:frame="off" w:val="single" w:shadow="off" w:sz="4" w:color="auto" w:space="0"/>
        <w:insideV w:frame="off" w:val="single" w:shadow="off" w:sz="4" w:color="auto" w:space="0"/>
      </w:tblBorders>
    </w:tblPr>
  </w:style>
</w:styles>
</file>

<file path=word/_rels/document.xml.rels><?xml version="1.0" encoding="UTF-8" standalone="yes"?><Relationships xmlns="http://schemas.openxmlformats.org/package/2006/relationships"><Relationship Id="rId5" Type="http://schemas.openxmlformats.org/officeDocument/2006/relationships/footer" Target="footer1.xml" /><Relationship Id="rId4" Type="http://schemas.openxmlformats.org/officeDocument/2006/relationships/numbering" Target="numbering.xml" /><Relationship Id="rId3" Type="http://schemas.openxmlformats.org/officeDocument/2006/relationships/theme" Target="theme/theme1.xml" /><Relationship Id="rId2" Type="http://schemas.openxmlformats.org/officeDocument/2006/relationships/fontTable" Target="fontTable.xml" /><Relationship Id="rId1" Type="http://schemas.openxmlformats.org/officeDocument/2006/relationships/settings" Target="settings.xml" /><Relationship Id="rId0"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typeface="Times New Roman" script="Viet"/>
        <a:font typeface="Sylfaen" script="Geor"/>
        <a:font typeface="Iskoola Pota" script="Sinh"/>
        <a:font typeface="DokChampa" script="Laoo"/>
        <a:font typeface="Kalinga" script="Orya"/>
        <a:font typeface="Mongolian Baiti" script="Mong"/>
        <a:font typeface="Kartika" script="Mlym"/>
        <a:font typeface="맑은 고딕" script="Hang"/>
        <a:font typeface="Gautami" script="Telu"/>
        <a:font typeface="Mangal" script="Deva"/>
        <a:font typeface="Microsoft Himalaya" script="Tibt"/>
        <a:font typeface="Euphemia" script="Cans"/>
        <a:font typeface="MoolBoran" script="Khmr"/>
        <a:font typeface="Estrangelo Edessa" script="Syrc"/>
        <a:font typeface="Angsana New" script="Thai"/>
        <a:font typeface="Shruti" script="Gujr"/>
        <a:font typeface="Microsoft Uighur" script="Uigh"/>
        <a:font typeface="Vrinda" script="Beng"/>
        <a:font typeface="ＭＳ ゴシック" script="Jpan"/>
        <a:font typeface="MV Boli" script="Thaa"/>
        <a:font typeface="Plantagenet Cherokee" script="Cher"/>
        <a:font typeface="Times New Roman" script="Hebr"/>
        <a:font typeface="Microsoft Yi Baiti" script="Yiii"/>
        <a:font typeface="Raavi" script="Guru"/>
        <a:font typeface="宋体" script="Hans"/>
        <a:font typeface="Nyala" script="Ethi"/>
        <a:font typeface="Latha" script="Taml"/>
        <a:font typeface="Tunga" script="Knda"/>
        <a:font typeface="Times New Roman" script="Arab"/>
        <a:font typeface="新細明體" script="Hant"/>
      </a:majorFont>
      <a:minorFont>
        <a:latin typeface="Calibri"/>
        <a:ea typeface=""/>
        <a:cs typeface=""/>
        <a:font typeface="Arial" script="Viet"/>
        <a:font typeface="Sylfaen" script="Geor"/>
        <a:font typeface="Iskoola Pota" script="Sinh"/>
        <a:font typeface="DokChampa" script="Laoo"/>
        <a:font typeface="Kalinga" script="Orya"/>
        <a:font typeface="Mongolian Baiti" script="Mong"/>
        <a:font typeface="Kartika" script="Mlym"/>
        <a:font typeface="맑은 고딕" script="Hang"/>
        <a:font typeface="Gautami" script="Telu"/>
        <a:font typeface="Mangal" script="Deva"/>
        <a:font typeface="Microsoft Himalaya" script="Tibt"/>
        <a:font typeface="Euphemia" script="Cans"/>
        <a:font typeface="DaunPenh" script="Khmr"/>
        <a:font typeface="Estrangelo Edessa" script="Syrc"/>
        <a:font typeface="Cordia New" script="Thai"/>
        <a:font typeface="Shruti" script="Gujr"/>
        <a:font typeface="Microsoft Uighur" script="Uigh"/>
        <a:font typeface="Vrinda" script="Beng"/>
        <a:font typeface="ＭＳ 明朝" script="Jpan"/>
        <a:font typeface="MV Boli" script="Thaa"/>
        <a:font typeface="Plantagenet Cherokee" script="Cher"/>
        <a:font typeface="Arial" script="Hebr"/>
        <a:font typeface="Microsoft Yi Baiti" script="Yiii"/>
        <a:font typeface="Raavi" script="Guru"/>
        <a:font typeface="宋体" script="Hans"/>
        <a:font typeface="Nyala" script="Ethi"/>
        <a:font typeface="Latha" script="Taml"/>
        <a:font typeface="Tunga" script="Knda"/>
        <a:font typeface="Arial" script="Arab"/>
        <a:font typeface="新細明體" script="Hant"/>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algn="ctr" cmpd="sng" cap="flat" w="12700">
          <a:solidFill>
            <a:schemeClr val="phClr"/>
          </a:solidFill>
          <a:prstDash val="solid"/>
          <a:miter lim="800000"/>
        </a:ln>
        <a:ln algn="ctr" cmpd="sng" cap="flat" w="12700">
          <a:solidFill>
            <a:schemeClr val="phClr"/>
          </a:solidFill>
          <a:prstDash val="solid"/>
          <a:miter lim="800000"/>
        </a:ln>
        <a:ln algn="ctr" cmpd="sng" cap="flat" w="12700">
          <a:prstDash val="solid"/>
          <a:miter lim="800000"/>
        </a:ln>
      </a:lnStyleLst>
      <a:effectStyleLst>
        <a:effectStyle>
          <a:effectLst>
            <a:outerShdw algn="ctr" dir="5400000" rotWithShape="0" dist="50800" blurRad="101600">
              <a:schemeClr val="phClr">
                <a:alpha val="60000"/>
              </a:schemeClr>
            </a:outerShdw>
          </a:effectLst>
        </a:effectStyle>
        <a:effectStyle>
          <a:effectLst>
            <a:reflection algn="bl" endPos="40000" endA="300" sy="-100000" stA="50000" dir="5400000" dist="25400"/>
          </a:effectLst>
        </a:effectStyle>
        <a:effectStyle>
          <a:effectLst>
            <a:outerShdw algn="ctr" dir="5400000" rotWithShape="0" dist="19050" blurRad="5715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17</TotalTime>
  <Pages>5</Pages>
  <Words>1626</Words>
  <Characters>1709</Characters>
  <Application>WPS Office_12.8.2.18606_F1E327BC-269C-435d-A152-05C5408002CA</Application>
  <DocSecurity>0</DocSecurity>
  <Lines>0</Lines>
  <Paragraphs>0</Paragraphs>
  <ScaleCrop>false</ScaleCrop>
  <Company/>
  <LinksUpToDate>false</LinksUpToDate>
  <CharactersWithSpaces>1738</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翼~莨</dc:creator>
  <cp:keywords/>
  <dc:description/>
  <cp:lastModifiedBy>赵健成</cp:lastModifiedBy>
  <cp:revision>1</cp:revision>
  <dcterms:created xsi:type="dcterms:W3CDTF">2023-11-15T03:21:00Z</dcterms:created>
  <dcterms:modified xsi:type="dcterms:W3CDTF">2025-01-07T03:36:48Z</dcterms:modified>
</cp:core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12929">
      <w:pPr>
        <w:spacing w:line="540" w:lineRule="exact"/>
        <w:jc w:val="center"/>
        <w:rPr>
          <w:rFonts w:hint="eastAsia" w:ascii="仿宋" w:hAnsi="仿宋" w:eastAsia="仿宋" w:cs="仿宋"/>
          <w:b w:val="0"/>
          <w:bCs w:val="0"/>
          <w:sz w:val="36"/>
          <w:szCs w:val="36"/>
          <w:lang w:val="en-US" w:eastAsia="zh-CN"/>
        </w:rPr>
      </w:pPr>
      <w:r>
        <w:rPr>
          <w:rFonts w:hint="eastAsia" w:ascii="仿宋" w:hAnsi="仿宋" w:eastAsia="仿宋" w:cs="仿宋"/>
          <w:b w:val="0"/>
          <w:bCs w:val="0"/>
          <w:sz w:val="36"/>
          <w:szCs w:val="36"/>
          <w:lang w:eastAsia="zh-CN"/>
        </w:rPr>
        <w:t>东凤镇海伦湾小区外围部分区域智慧停车场合作建设运营项目</w:t>
      </w:r>
      <w:r>
        <w:rPr>
          <w:rFonts w:hint="eastAsia" w:ascii="仿宋" w:hAnsi="仿宋" w:eastAsia="仿宋" w:cs="仿宋"/>
          <w:b w:val="0"/>
          <w:bCs w:val="0"/>
          <w:sz w:val="36"/>
          <w:szCs w:val="36"/>
        </w:rPr>
        <w:t>招</w:t>
      </w:r>
      <w:r>
        <w:rPr>
          <w:rFonts w:hint="eastAsia" w:ascii="仿宋" w:hAnsi="仿宋" w:eastAsia="仿宋" w:cs="仿宋"/>
          <w:b w:val="0"/>
          <w:bCs w:val="0"/>
          <w:sz w:val="36"/>
          <w:szCs w:val="36"/>
          <w:lang w:eastAsia="zh-CN"/>
        </w:rPr>
        <w:t>租</w:t>
      </w:r>
      <w:r>
        <w:rPr>
          <w:rFonts w:hint="eastAsia" w:ascii="仿宋" w:hAnsi="仿宋" w:eastAsia="仿宋" w:cs="仿宋"/>
          <w:b w:val="0"/>
          <w:bCs w:val="0"/>
          <w:sz w:val="36"/>
          <w:szCs w:val="36"/>
        </w:rPr>
        <w:t>方案</w:t>
      </w:r>
      <w:r>
        <w:rPr>
          <w:rFonts w:hint="eastAsia" w:ascii="仿宋" w:hAnsi="仿宋" w:eastAsia="仿宋" w:cs="仿宋"/>
          <w:b w:val="0"/>
          <w:bCs w:val="0"/>
          <w:sz w:val="36"/>
          <w:szCs w:val="36"/>
          <w:lang w:eastAsia="zh-CN"/>
        </w:rPr>
        <w:t>（第三次）</w:t>
      </w:r>
    </w:p>
    <w:p w14:paraId="60D71B5C">
      <w:pPr>
        <w:spacing w:line="600" w:lineRule="exact"/>
        <w:ind w:firstLine="560" w:firstLineChars="200"/>
        <w:rPr>
          <w:rFonts w:ascii="仿宋_GB2312" w:hAnsi="仿宋_GB2312" w:eastAsia="仿宋_GB2312" w:cs="仿宋_GB2312"/>
          <w:sz w:val="28"/>
          <w:szCs w:val="28"/>
        </w:rPr>
      </w:pPr>
    </w:p>
    <w:p w14:paraId="682AEBFE">
      <w:pPr>
        <w:spacing w:line="24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东海社区受托对</w:t>
      </w:r>
      <w:r>
        <w:rPr>
          <w:rFonts w:hint="eastAsia" w:ascii="仿宋_GB2312" w:hAnsi="仿宋_GB2312" w:eastAsia="仿宋_GB2312" w:cs="仿宋_GB2312"/>
          <w:sz w:val="28"/>
          <w:szCs w:val="28"/>
          <w:lang w:val="en-US" w:eastAsia="zh-CN"/>
        </w:rPr>
        <w:t>海伦湾小区外围部分区域进行管理，</w:t>
      </w:r>
      <w:r>
        <w:rPr>
          <w:rFonts w:hint="eastAsia" w:ascii="仿宋_GB2312" w:hAnsi="仿宋_GB2312" w:eastAsia="仿宋_GB2312" w:cs="仿宋_GB2312"/>
          <w:sz w:val="28"/>
          <w:szCs w:val="28"/>
        </w:rPr>
        <w:t>现面</w:t>
      </w:r>
      <w:r>
        <w:rPr>
          <w:rFonts w:hint="eastAsia" w:ascii="仿宋_GB2312" w:hAnsi="仿宋_GB2312" w:eastAsia="仿宋_GB2312" w:cs="仿宋_GB2312"/>
          <w:sz w:val="28"/>
          <w:szCs w:val="28"/>
          <w:lang w:eastAsia="zh-CN"/>
        </w:rPr>
        <w:t>向</w:t>
      </w:r>
      <w:r>
        <w:rPr>
          <w:rFonts w:hint="eastAsia" w:ascii="仿宋_GB2312" w:hAnsi="仿宋_GB2312" w:eastAsia="仿宋_GB2312" w:cs="仿宋_GB2312"/>
          <w:sz w:val="28"/>
          <w:szCs w:val="28"/>
        </w:rPr>
        <w:t>社会进行公开</w:t>
      </w:r>
      <w:r>
        <w:rPr>
          <w:rFonts w:hint="eastAsia" w:ascii="仿宋_GB2312" w:hAnsi="仿宋_GB2312" w:eastAsia="仿宋_GB2312" w:cs="仿宋_GB2312"/>
          <w:sz w:val="28"/>
          <w:szCs w:val="28"/>
          <w:lang w:val="en-US" w:eastAsia="zh-CN"/>
        </w:rPr>
        <w:t>招商合作建设运营</w:t>
      </w:r>
      <w:r>
        <w:rPr>
          <w:rFonts w:hint="eastAsia" w:ascii="仿宋_GB2312" w:hAnsi="仿宋_GB2312" w:eastAsia="仿宋_GB2312" w:cs="仿宋_GB2312"/>
          <w:sz w:val="28"/>
          <w:szCs w:val="28"/>
        </w:rPr>
        <w:t>。</w:t>
      </w:r>
    </w:p>
    <w:p w14:paraId="44DADA6F">
      <w:pPr>
        <w:spacing w:line="240" w:lineRule="auto"/>
        <w:ind w:firstLine="562" w:firstLineChars="200"/>
        <w:rPr>
          <w:rFonts w:hint="eastAsia" w:ascii="黑体" w:hAnsi="黑体" w:eastAsia="黑体" w:cs="黑体"/>
          <w:b/>
          <w:bCs/>
          <w:sz w:val="28"/>
          <w:szCs w:val="28"/>
        </w:rPr>
      </w:pPr>
      <w:r>
        <w:rPr>
          <w:rFonts w:hint="eastAsia" w:ascii="黑体" w:hAnsi="黑体" w:eastAsia="黑体" w:cs="黑体"/>
          <w:b/>
          <w:bCs/>
          <w:sz w:val="28"/>
          <w:szCs w:val="28"/>
        </w:rPr>
        <w:t>一、</w:t>
      </w:r>
      <w:r>
        <w:rPr>
          <w:rFonts w:hint="eastAsia" w:ascii="黑体" w:hAnsi="黑体" w:eastAsia="黑体" w:cs="黑体"/>
          <w:b/>
          <w:bCs/>
          <w:sz w:val="28"/>
          <w:szCs w:val="28"/>
          <w:lang w:eastAsia="zh-CN"/>
        </w:rPr>
        <w:t>项目</w:t>
      </w:r>
      <w:r>
        <w:rPr>
          <w:rFonts w:hint="eastAsia" w:ascii="黑体" w:hAnsi="黑体" w:eastAsia="黑体" w:cs="黑体"/>
          <w:b/>
          <w:bCs/>
          <w:sz w:val="28"/>
          <w:szCs w:val="28"/>
        </w:rPr>
        <w:t>基本情况</w:t>
      </w:r>
      <w:r>
        <w:rPr>
          <w:rFonts w:hint="eastAsia" w:ascii="黑体" w:hAnsi="黑体" w:eastAsia="黑体" w:cs="黑体"/>
          <w:b/>
          <w:bCs/>
          <w:sz w:val="28"/>
          <w:szCs w:val="28"/>
          <w:lang w:eastAsia="zh-CN"/>
        </w:rPr>
        <w:t>及合作建设要求</w:t>
      </w:r>
      <w:r>
        <w:rPr>
          <w:rFonts w:hint="eastAsia" w:ascii="黑体" w:hAnsi="黑体" w:eastAsia="黑体" w:cs="黑体"/>
          <w:b/>
          <w:bCs/>
          <w:sz w:val="28"/>
          <w:szCs w:val="28"/>
        </w:rPr>
        <w:t>：</w:t>
      </w:r>
    </w:p>
    <w:p w14:paraId="24B707A8">
      <w:pPr>
        <w:ind w:firstLine="562"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bCs/>
          <w:sz w:val="28"/>
          <w:szCs w:val="28"/>
          <w:lang w:val="en-US" w:eastAsia="zh-CN"/>
        </w:rPr>
        <w:t>（一）</w:t>
      </w:r>
      <w:r>
        <w:rPr>
          <w:rFonts w:hint="eastAsia" w:ascii="仿宋_GB2312" w:hAnsi="仿宋_GB2312" w:eastAsia="仿宋_GB2312" w:cs="仿宋_GB2312"/>
          <w:b/>
          <w:bCs/>
          <w:color w:val="auto"/>
          <w:sz w:val="28"/>
          <w:szCs w:val="28"/>
          <w:highlight w:val="none"/>
          <w:lang w:eastAsia="zh-CN"/>
        </w:rPr>
        <w:t>海伦湾项目基本情况：</w:t>
      </w:r>
      <w:r>
        <w:rPr>
          <w:rFonts w:hint="eastAsia" w:ascii="仿宋_GB2312" w:hAnsi="仿宋_GB2312" w:eastAsia="仿宋_GB2312" w:cs="仿宋_GB2312"/>
          <w:sz w:val="28"/>
          <w:szCs w:val="28"/>
          <w:lang w:val="en-US" w:eastAsia="zh-CN"/>
        </w:rPr>
        <w:t>该标的位于</w:t>
      </w:r>
      <w:r>
        <w:rPr>
          <w:rFonts w:hint="eastAsia" w:ascii="仿宋_GB2312" w:hAnsi="仿宋_GB2312" w:eastAsia="仿宋_GB2312" w:cs="仿宋_GB2312"/>
          <w:sz w:val="28"/>
          <w:szCs w:val="28"/>
          <w:lang w:eastAsia="zh-CN"/>
        </w:rPr>
        <w:t>东凤镇东堤路</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8号外，</w:t>
      </w:r>
      <w:r>
        <w:rPr>
          <w:rFonts w:hint="eastAsia" w:ascii="仿宋_GB2312" w:hAnsi="仿宋_GB2312" w:eastAsia="仿宋_GB2312" w:cs="仿宋_GB2312"/>
          <w:sz w:val="28"/>
          <w:szCs w:val="28"/>
          <w:lang w:val="en-US" w:eastAsia="zh-CN"/>
        </w:rPr>
        <w:t>从沙口大桥底起至凤巢湾项目用地的</w:t>
      </w:r>
      <w:r>
        <w:rPr>
          <w:rFonts w:hint="eastAsia" w:ascii="仿宋_GB2312" w:hAnsi="仿宋_GB2312" w:eastAsia="仿宋_GB2312" w:cs="仿宋_GB2312"/>
          <w:sz w:val="28"/>
          <w:szCs w:val="28"/>
          <w:lang w:eastAsia="zh-CN"/>
        </w:rPr>
        <w:t>市政路（海旁公园大堤侧）约</w:t>
      </w:r>
      <w:r>
        <w:rPr>
          <w:rFonts w:hint="eastAsia" w:ascii="仿宋_GB2312" w:hAnsi="仿宋_GB2312" w:eastAsia="仿宋_GB2312" w:cs="仿宋_GB2312"/>
          <w:sz w:val="28"/>
          <w:szCs w:val="28"/>
          <w:lang w:val="en-US" w:eastAsia="zh-CN"/>
        </w:rPr>
        <w:t>149个停车位（以实际可用为准）。根据百度地图测距，项目用地（单边）长约680米，宽约6米</w:t>
      </w:r>
      <w:r>
        <w:rPr>
          <w:rFonts w:hint="eastAsia" w:ascii="仿宋_GB2312" w:hAnsi="仿宋_GB2312" w:eastAsia="仿宋_GB2312" w:cs="仿宋_GB2312"/>
          <w:color w:val="auto"/>
          <w:sz w:val="28"/>
          <w:szCs w:val="28"/>
          <w:highlight w:val="none"/>
          <w:lang w:val="en-US" w:eastAsia="zh-CN"/>
        </w:rPr>
        <w:t>。</w:t>
      </w:r>
    </w:p>
    <w:p w14:paraId="75BE5499">
      <w:pPr>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lang w:eastAsia="zh-CN"/>
        </w:rPr>
        <w:t>合作建设要求：</w:t>
      </w:r>
    </w:p>
    <w:p w14:paraId="5B4AF65C">
      <w:pPr>
        <w:spacing w:line="240" w:lineRule="auto"/>
        <w:ind w:firstLine="560" w:firstLineChars="200"/>
        <w:rPr>
          <w:rFonts w:hint="eastAsia" w:ascii="仿宋_GB2312" w:hAnsi="仿宋_GB2312" w:eastAsia="仿宋"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建设要求</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sz w:val="28"/>
          <w:szCs w:val="28"/>
          <w:lang w:eastAsia="zh-CN"/>
        </w:rPr>
        <w:t>成功招商签订合同后立即开始建设，合作方承担所有</w:t>
      </w:r>
      <w:r>
        <w:rPr>
          <w:rFonts w:hint="eastAsia" w:ascii="仿宋_GB2312" w:hAnsi="仿宋_GB2312" w:eastAsia="仿宋_GB2312" w:cs="仿宋_GB2312"/>
          <w:color w:val="auto"/>
          <w:sz w:val="28"/>
          <w:szCs w:val="28"/>
          <w:highlight w:val="none"/>
          <w:lang w:eastAsia="zh-CN"/>
        </w:rPr>
        <w:t>建设费用。</w:t>
      </w:r>
      <w:r>
        <w:rPr>
          <w:rFonts w:hint="eastAsia" w:ascii="仿宋" w:hAnsi="仿宋" w:eastAsia="仿宋" w:cs="仿宋"/>
          <w:color w:val="auto"/>
          <w:sz w:val="28"/>
          <w:szCs w:val="28"/>
          <w:highlight w:val="none"/>
          <w:lang w:val="en-US" w:eastAsia="zh-CN"/>
        </w:rPr>
        <w:t>由于该区域有市政道路横穿，不适宜设置道闸进行围蔽管理，须采用</w:t>
      </w:r>
      <w:r>
        <w:rPr>
          <w:rFonts w:hint="eastAsia" w:ascii="仿宋" w:hAnsi="仿宋" w:eastAsia="仿宋" w:cs="仿宋"/>
          <w:color w:val="FF0000"/>
          <w:sz w:val="28"/>
          <w:szCs w:val="28"/>
          <w:highlight w:val="none"/>
          <w:lang w:val="en-US" w:eastAsia="zh-CN"/>
        </w:rPr>
        <w:t>智能地锁或人员现场值守管理</w:t>
      </w:r>
      <w:r>
        <w:rPr>
          <w:rFonts w:hint="eastAsia" w:ascii="仿宋" w:hAnsi="仿宋" w:eastAsia="仿宋" w:cs="仿宋"/>
          <w:color w:val="auto"/>
          <w:sz w:val="28"/>
          <w:szCs w:val="28"/>
          <w:highlight w:val="none"/>
          <w:lang w:val="en-US" w:eastAsia="zh-CN"/>
        </w:rPr>
        <w:t>，并且需要对车位编号、接入收费系统、加建监控设备、加装收费公示牌，配备消防、安全生产器材等；同时，要做好停车区域环境卫生保洁、场地设施维护，涉停车位问题投诉等</w:t>
      </w:r>
      <w:r>
        <w:rPr>
          <w:rFonts w:hint="eastAsia" w:ascii="仿宋_GB2312" w:hAnsi="仿宋_GB2312" w:eastAsia="仿宋_GB2312" w:cs="仿宋_GB2312"/>
          <w:color w:val="auto"/>
          <w:sz w:val="28"/>
          <w:szCs w:val="28"/>
          <w:highlight w:val="none"/>
          <w:lang w:eastAsia="zh-CN"/>
        </w:rPr>
        <w:t>。</w:t>
      </w:r>
    </w:p>
    <w:p w14:paraId="5F64A466">
      <w:pPr>
        <w:spacing w:line="24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 w:hAnsi="仿宋" w:eastAsia="仿宋" w:cs="仿宋"/>
          <w:color w:val="auto"/>
          <w:sz w:val="28"/>
          <w:szCs w:val="28"/>
          <w:highlight w:val="none"/>
          <w:lang w:val="en-US" w:eastAsia="zh-CN"/>
        </w:rPr>
        <w:t>其他要求：</w:t>
      </w:r>
      <w:r>
        <w:rPr>
          <w:rFonts w:hint="eastAsia" w:ascii="仿宋_GB2312" w:hAnsi="仿宋_GB2312" w:eastAsia="仿宋_GB2312" w:cs="仿宋_GB2312"/>
          <w:color w:val="auto"/>
          <w:sz w:val="28"/>
          <w:szCs w:val="28"/>
          <w:highlight w:val="none"/>
          <w:lang w:eastAsia="zh-CN"/>
        </w:rPr>
        <w:t>签订合同后，承租方须立即对海旁公园路面、护栏、照明、座椅等破损修复，绿化缺失补种</w:t>
      </w:r>
      <w:r>
        <w:rPr>
          <w:rFonts w:hint="eastAsia" w:ascii="仿宋_GB2312" w:hAnsi="仿宋_GB2312" w:eastAsia="仿宋_GB2312" w:cs="仿宋_GB2312"/>
          <w:color w:val="FF0000"/>
          <w:sz w:val="28"/>
          <w:szCs w:val="28"/>
          <w:highlight w:val="none"/>
          <w:lang w:eastAsia="zh-CN"/>
        </w:rPr>
        <w:t>并在合同期间内全面加强海旁公园的管理维护，切实提升整个海旁公园档次</w:t>
      </w:r>
      <w:r>
        <w:rPr>
          <w:rFonts w:hint="eastAsia" w:ascii="仿宋_GB2312" w:hAnsi="仿宋_GB2312" w:eastAsia="仿宋_GB2312" w:cs="仿宋_GB2312"/>
          <w:color w:val="auto"/>
          <w:sz w:val="28"/>
          <w:szCs w:val="28"/>
          <w:highlight w:val="none"/>
          <w:lang w:eastAsia="zh-CN"/>
        </w:rPr>
        <w:t>；</w:t>
      </w:r>
      <w:r>
        <w:rPr>
          <w:rFonts w:hint="eastAsia" w:ascii="仿宋" w:hAnsi="仿宋" w:eastAsia="仿宋" w:cs="仿宋"/>
          <w:color w:val="auto"/>
          <w:sz w:val="28"/>
          <w:szCs w:val="28"/>
          <w:highlight w:val="none"/>
          <w:lang w:val="en-US" w:eastAsia="zh-CN"/>
        </w:rPr>
        <w:t>小区与海旁公园之间的市政道路破损路面和路沿石修复、下水道井盖破损更换、道路标识标线更新</w:t>
      </w:r>
      <w:r>
        <w:rPr>
          <w:rFonts w:hint="eastAsia" w:ascii="仿宋_GB2312" w:hAnsi="仿宋_GB2312" w:eastAsia="仿宋_GB2312" w:cs="仿宋_GB2312"/>
          <w:color w:val="auto"/>
          <w:sz w:val="28"/>
          <w:szCs w:val="28"/>
          <w:highlight w:val="none"/>
          <w:lang w:eastAsia="zh-CN"/>
        </w:rPr>
        <w:t>。</w:t>
      </w:r>
      <w:r>
        <w:rPr>
          <w:rFonts w:hint="eastAsia" w:ascii="仿宋" w:hAnsi="仿宋" w:eastAsia="仿宋" w:cs="仿宋"/>
          <w:color w:val="auto"/>
          <w:sz w:val="28"/>
          <w:szCs w:val="28"/>
          <w:highlight w:val="none"/>
          <w:lang w:val="en-US" w:eastAsia="zh-CN"/>
        </w:rPr>
        <w:t>承租期内，承租方（可委托所在小区物业）须对海伦湾外整个海旁公园、小区与海旁公园之间的市政道路及</w:t>
      </w:r>
      <w:bookmarkStart w:id="0" w:name="_GoBack"/>
      <w:r>
        <w:rPr>
          <w:rFonts w:hint="eastAsia" w:ascii="仿宋" w:hAnsi="仿宋" w:eastAsia="仿宋" w:cs="仿宋"/>
          <w:color w:val="FF0000"/>
          <w:sz w:val="28"/>
          <w:szCs w:val="28"/>
          <w:highlight w:val="none"/>
          <w:lang w:val="en-US" w:eastAsia="zh-CN"/>
        </w:rPr>
        <w:t>所运营</w:t>
      </w:r>
      <w:bookmarkEnd w:id="0"/>
      <w:r>
        <w:rPr>
          <w:rFonts w:hint="eastAsia" w:ascii="仿宋" w:hAnsi="仿宋" w:eastAsia="仿宋" w:cs="仿宋"/>
          <w:color w:val="auto"/>
          <w:sz w:val="28"/>
          <w:szCs w:val="28"/>
          <w:highlight w:val="none"/>
          <w:lang w:val="en-US" w:eastAsia="zh-CN"/>
        </w:rPr>
        <w:t>车位的环境卫生保洁、绿化、公共秩序和设施设备等进行常态化管养维护。其中，市政道路管养包括但不限于路面保洁、破损路面修复、下水道井盖破损更换、道路标识标线更新等。</w:t>
      </w:r>
    </w:p>
    <w:p w14:paraId="309284A3">
      <w:pPr>
        <w:spacing w:line="24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3、合作期限：</w:t>
      </w:r>
      <w:r>
        <w:rPr>
          <w:rFonts w:hint="eastAsia" w:ascii="仿宋_GB2312" w:hAnsi="仿宋_GB2312" w:eastAsia="仿宋_GB2312" w:cs="仿宋_GB2312"/>
          <w:color w:val="FF0000"/>
          <w:sz w:val="28"/>
          <w:szCs w:val="28"/>
          <w:highlight w:val="none"/>
          <w:lang w:val="en-US" w:eastAsia="zh-CN"/>
        </w:rPr>
        <w:t>15</w:t>
      </w:r>
      <w:r>
        <w:rPr>
          <w:rFonts w:hint="eastAsia" w:ascii="仿宋_GB2312" w:hAnsi="仿宋_GB2312" w:eastAsia="仿宋_GB2312" w:cs="仿宋_GB2312"/>
          <w:color w:val="auto"/>
          <w:sz w:val="28"/>
          <w:szCs w:val="28"/>
          <w:highlight w:val="none"/>
          <w:lang w:val="en-US" w:eastAsia="zh-CN"/>
        </w:rPr>
        <w:t>年。</w:t>
      </w:r>
    </w:p>
    <w:p w14:paraId="5C2AF795">
      <w:pPr>
        <w:spacing w:line="240" w:lineRule="auto"/>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合作租金底价：15000元/月，</w:t>
      </w:r>
      <w:r>
        <w:rPr>
          <w:rFonts w:hint="eastAsia" w:ascii="仿宋_GB2312" w:hAnsi="仿宋_GB2312" w:eastAsia="仿宋_GB2312" w:cs="仿宋_GB2312"/>
          <w:color w:val="FF0000"/>
          <w:sz w:val="28"/>
          <w:szCs w:val="28"/>
          <w:highlight w:val="none"/>
          <w:lang w:val="en-US" w:eastAsia="zh-CN"/>
        </w:rPr>
        <w:t>每三年为一期，每期递增10%（第一期按投标底价计租）</w:t>
      </w:r>
      <w:r>
        <w:rPr>
          <w:rFonts w:hint="eastAsia" w:ascii="仿宋_GB2312" w:hAnsi="仿宋_GB2312" w:eastAsia="仿宋_GB2312" w:cs="仿宋_GB2312"/>
          <w:color w:val="auto"/>
          <w:sz w:val="28"/>
          <w:szCs w:val="28"/>
          <w:highlight w:val="none"/>
          <w:lang w:val="en-US" w:eastAsia="zh-CN"/>
        </w:rPr>
        <w:t>。其中，</w:t>
      </w:r>
      <w:r>
        <w:rPr>
          <w:rFonts w:hint="eastAsia" w:ascii="仿宋_GB2312" w:hAnsi="仿宋_GB2312" w:eastAsia="仿宋_GB2312" w:cs="仿宋_GB2312"/>
          <w:color w:val="FF0000"/>
          <w:sz w:val="28"/>
          <w:szCs w:val="28"/>
          <w:highlight w:val="none"/>
          <w:lang w:val="en-US" w:eastAsia="zh-CN"/>
        </w:rPr>
        <w:t>出租方将月租金的30%</w:t>
      </w:r>
      <w:r>
        <w:rPr>
          <w:rFonts w:hint="eastAsia" w:ascii="仿宋_GB2312" w:hAnsi="仿宋_GB2312" w:eastAsia="仿宋_GB2312" w:cs="仿宋_GB2312"/>
          <w:color w:val="auto"/>
          <w:sz w:val="28"/>
          <w:szCs w:val="28"/>
          <w:highlight w:val="none"/>
          <w:lang w:val="en-US" w:eastAsia="zh-CN"/>
        </w:rPr>
        <w:t>作为上述第2点的设施维护</w:t>
      </w:r>
      <w:r>
        <w:rPr>
          <w:rFonts w:hint="eastAsia" w:ascii="仿宋_GB2312" w:hAnsi="仿宋_GB2312" w:eastAsia="仿宋_GB2312" w:cs="仿宋_GB2312"/>
          <w:color w:val="FF0000"/>
          <w:sz w:val="28"/>
          <w:szCs w:val="28"/>
          <w:highlight w:val="none"/>
          <w:lang w:val="en-US" w:eastAsia="zh-CN"/>
        </w:rPr>
        <w:t>和日常管养</w:t>
      </w:r>
      <w:r>
        <w:rPr>
          <w:rFonts w:hint="eastAsia" w:ascii="仿宋_GB2312" w:hAnsi="仿宋_GB2312" w:eastAsia="仿宋_GB2312" w:cs="仿宋_GB2312"/>
          <w:color w:val="auto"/>
          <w:sz w:val="28"/>
          <w:szCs w:val="28"/>
          <w:highlight w:val="none"/>
          <w:lang w:val="en-US" w:eastAsia="zh-CN"/>
        </w:rPr>
        <w:t>费，</w:t>
      </w:r>
      <w:r>
        <w:rPr>
          <w:rFonts w:hint="eastAsia" w:ascii="仿宋_GB2312" w:hAnsi="仿宋_GB2312" w:eastAsia="仿宋_GB2312" w:cs="仿宋_GB2312"/>
          <w:color w:val="FF0000"/>
          <w:sz w:val="28"/>
          <w:szCs w:val="28"/>
          <w:highlight w:val="none"/>
          <w:lang w:val="en-US" w:eastAsia="zh-CN"/>
        </w:rPr>
        <w:t>委托承租方直接拨付给</w:t>
      </w:r>
      <w:r>
        <w:rPr>
          <w:rFonts w:hint="eastAsia" w:ascii="仿宋_GB2312" w:hAnsi="仿宋_GB2312" w:eastAsia="仿宋_GB2312" w:cs="仿宋_GB2312"/>
          <w:color w:val="auto"/>
          <w:sz w:val="28"/>
          <w:szCs w:val="28"/>
          <w:highlight w:val="none"/>
          <w:lang w:val="en-US" w:eastAsia="zh-CN"/>
        </w:rPr>
        <w:t>第三方管养单位，并签订三方协议监管；</w:t>
      </w:r>
      <w:r>
        <w:rPr>
          <w:rFonts w:hint="eastAsia" w:ascii="仿宋_GB2312" w:hAnsi="仿宋_GB2312" w:eastAsia="仿宋_GB2312" w:cs="仿宋_GB2312"/>
          <w:b/>
          <w:bCs/>
          <w:color w:val="FF0000"/>
          <w:sz w:val="28"/>
          <w:szCs w:val="28"/>
          <w:highlight w:val="none"/>
          <w:lang w:val="en-US" w:eastAsia="zh-CN"/>
        </w:rPr>
        <w:t>即承租方只须按中标价分别向出租方、第三方管养单位按70%、30%的比例支付项目租金</w:t>
      </w:r>
      <w:r>
        <w:rPr>
          <w:rFonts w:hint="eastAsia" w:ascii="仿宋_GB2312" w:hAnsi="仿宋_GB2312" w:eastAsia="仿宋_GB2312" w:cs="仿宋_GB2312"/>
          <w:color w:val="auto"/>
          <w:sz w:val="28"/>
          <w:szCs w:val="28"/>
          <w:highlight w:val="none"/>
          <w:lang w:val="en-US" w:eastAsia="zh-CN"/>
        </w:rPr>
        <w:t>。</w:t>
      </w:r>
    </w:p>
    <w:p w14:paraId="4A788483">
      <w:pPr>
        <w:ind w:firstLine="560" w:firstLineChars="200"/>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、租金缴纳方式：</w:t>
      </w:r>
      <w:r>
        <w:rPr>
          <w:rFonts w:hint="eastAsia" w:ascii="仿宋_GB2312" w:hAnsi="仿宋_GB2312" w:eastAsia="仿宋_GB2312" w:cs="仿宋_GB2312"/>
          <w:b w:val="0"/>
          <w:bCs w:val="0"/>
          <w:color w:val="auto"/>
          <w:sz w:val="28"/>
          <w:szCs w:val="28"/>
          <w:highlight w:val="none"/>
        </w:rPr>
        <w:t>非税收入，系统自动生成非税收入一般缴款书，</w:t>
      </w:r>
      <w:r>
        <w:rPr>
          <w:rFonts w:hint="eastAsia" w:ascii="仿宋_GB2312" w:hAnsi="仿宋_GB2312" w:eastAsia="仿宋_GB2312" w:cs="仿宋_GB2312"/>
          <w:b w:val="0"/>
          <w:bCs w:val="0"/>
          <w:color w:val="auto"/>
          <w:sz w:val="28"/>
          <w:szCs w:val="28"/>
          <w:highlight w:val="none"/>
          <w:lang w:eastAsia="zh-CN"/>
        </w:rPr>
        <w:t>每季度</w:t>
      </w:r>
      <w:r>
        <w:rPr>
          <w:rFonts w:hint="eastAsia" w:ascii="仿宋_GB2312" w:hAnsi="仿宋_GB2312" w:eastAsia="仿宋_GB2312" w:cs="仿宋_GB2312"/>
          <w:b w:val="0"/>
          <w:bCs w:val="0"/>
          <w:color w:val="auto"/>
          <w:sz w:val="28"/>
          <w:szCs w:val="28"/>
          <w:highlight w:val="none"/>
        </w:rPr>
        <w:t>支付</w:t>
      </w:r>
      <w:r>
        <w:rPr>
          <w:rFonts w:hint="eastAsia" w:ascii="仿宋_GB2312" w:hAnsi="仿宋_GB2312" w:eastAsia="仿宋_GB2312" w:cs="仿宋_GB2312"/>
          <w:b w:val="0"/>
          <w:bCs w:val="0"/>
          <w:color w:val="auto"/>
          <w:sz w:val="28"/>
          <w:szCs w:val="28"/>
          <w:highlight w:val="none"/>
          <w:lang w:eastAsia="zh-CN"/>
        </w:rPr>
        <w:t>一次</w:t>
      </w:r>
      <w:r>
        <w:rPr>
          <w:rFonts w:hint="eastAsia" w:ascii="仿宋_GB2312" w:hAnsi="仿宋_GB2312" w:eastAsia="仿宋_GB2312" w:cs="仿宋_GB2312"/>
          <w:b w:val="0"/>
          <w:bCs w:val="0"/>
          <w:color w:val="auto"/>
          <w:sz w:val="28"/>
          <w:szCs w:val="28"/>
          <w:highlight w:val="none"/>
        </w:rPr>
        <w:t>租金</w:t>
      </w:r>
      <w:r>
        <w:rPr>
          <w:rFonts w:hint="eastAsia" w:ascii="仿宋_GB2312" w:hAnsi="仿宋_GB2312" w:eastAsia="仿宋_GB2312" w:cs="仿宋_GB2312"/>
          <w:b w:val="0"/>
          <w:bCs w:val="0"/>
          <w:color w:val="auto"/>
          <w:sz w:val="28"/>
          <w:szCs w:val="28"/>
          <w:highlight w:val="none"/>
          <w:lang w:eastAsia="zh-CN"/>
        </w:rPr>
        <w:t>；</w:t>
      </w:r>
    </w:p>
    <w:p w14:paraId="46A0C7FD">
      <w:pPr>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计租时间：</w:t>
      </w:r>
      <w:r>
        <w:rPr>
          <w:rFonts w:hint="eastAsia" w:ascii="仿宋_GB2312" w:hAnsi="仿宋_GB2312" w:eastAsia="仿宋_GB2312" w:cs="仿宋_GB2312"/>
          <w:b w:val="0"/>
          <w:bCs w:val="0"/>
          <w:color w:val="auto"/>
          <w:sz w:val="28"/>
          <w:szCs w:val="28"/>
          <w:highlight w:val="none"/>
          <w:lang w:val="en-US" w:eastAsia="zh-CN"/>
        </w:rPr>
        <w:t>免租期</w:t>
      </w:r>
      <w:r>
        <w:rPr>
          <w:rFonts w:hint="eastAsia" w:ascii="仿宋_GB2312" w:hAnsi="仿宋_GB2312" w:eastAsia="仿宋_GB2312" w:cs="仿宋_GB2312"/>
          <w:b w:val="0"/>
          <w:bCs w:val="0"/>
          <w:color w:val="FF0000"/>
          <w:sz w:val="28"/>
          <w:szCs w:val="28"/>
          <w:highlight w:val="none"/>
          <w:lang w:val="en-US" w:eastAsia="zh-CN"/>
        </w:rPr>
        <w:t>4</w:t>
      </w:r>
      <w:r>
        <w:rPr>
          <w:rFonts w:hint="eastAsia" w:ascii="仿宋_GB2312" w:hAnsi="仿宋_GB2312" w:eastAsia="仿宋_GB2312" w:cs="仿宋_GB2312"/>
          <w:b w:val="0"/>
          <w:bCs w:val="0"/>
          <w:color w:val="auto"/>
          <w:sz w:val="28"/>
          <w:szCs w:val="28"/>
          <w:highlight w:val="none"/>
          <w:lang w:val="en-US" w:eastAsia="zh-CN"/>
        </w:rPr>
        <w:t>个月</w:t>
      </w:r>
      <w:r>
        <w:rPr>
          <w:rFonts w:hint="eastAsia" w:ascii="仿宋_GB2312" w:hAnsi="仿宋_GB2312" w:eastAsia="仿宋_GB2312" w:cs="仿宋_GB2312"/>
          <w:color w:val="auto"/>
          <w:sz w:val="28"/>
          <w:szCs w:val="28"/>
          <w:highlight w:val="none"/>
        </w:rPr>
        <w:t>。</w:t>
      </w:r>
    </w:p>
    <w:p w14:paraId="08411BE5">
      <w:pPr>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lang w:eastAsia="zh-CN"/>
        </w:rPr>
        <w:t>智慧停车场收费指导价：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3"/>
        <w:gridCol w:w="5556"/>
      </w:tblGrid>
      <w:tr w14:paraId="4A14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3" w:type="dxa"/>
            <w:noWrap w:val="0"/>
            <w:vAlign w:val="top"/>
          </w:tcPr>
          <w:p w14:paraId="531A2988">
            <w:pPr>
              <w:jc w:val="center"/>
              <w:rPr>
                <w:rFonts w:hint="eastAsia" w:ascii="仿宋" w:hAnsi="仿宋" w:eastAsia="仿宋" w:cs="仿宋"/>
                <w:b/>
                <w:bCs/>
                <w:color w:val="auto"/>
                <w:sz w:val="28"/>
                <w:szCs w:val="28"/>
                <w:highlight w:val="none"/>
                <w:vertAlign w:val="baseline"/>
                <w:lang w:eastAsia="zh-CN"/>
              </w:rPr>
            </w:pPr>
            <w:r>
              <w:rPr>
                <w:rFonts w:hint="eastAsia" w:ascii="仿宋" w:hAnsi="仿宋" w:eastAsia="仿宋" w:cs="仿宋"/>
                <w:b/>
                <w:bCs/>
                <w:color w:val="auto"/>
                <w:sz w:val="28"/>
                <w:szCs w:val="28"/>
                <w:highlight w:val="none"/>
                <w:vertAlign w:val="baseline"/>
                <w:lang w:eastAsia="zh-CN"/>
              </w:rPr>
              <w:t>车辆类型</w:t>
            </w:r>
          </w:p>
        </w:tc>
        <w:tc>
          <w:tcPr>
            <w:tcW w:w="5556" w:type="dxa"/>
            <w:noWrap w:val="0"/>
            <w:vAlign w:val="top"/>
          </w:tcPr>
          <w:p w14:paraId="5C1FA135">
            <w:pPr>
              <w:jc w:val="center"/>
              <w:rPr>
                <w:rFonts w:hint="eastAsia" w:ascii="仿宋" w:hAnsi="仿宋" w:eastAsia="仿宋" w:cs="仿宋"/>
                <w:b/>
                <w:bCs/>
                <w:color w:val="auto"/>
                <w:sz w:val="28"/>
                <w:szCs w:val="28"/>
                <w:highlight w:val="none"/>
                <w:vertAlign w:val="baseline"/>
                <w:lang w:eastAsia="zh-CN"/>
              </w:rPr>
            </w:pPr>
            <w:r>
              <w:rPr>
                <w:rFonts w:hint="eastAsia" w:ascii="仿宋" w:hAnsi="仿宋" w:eastAsia="仿宋" w:cs="仿宋"/>
                <w:b/>
                <w:bCs/>
                <w:color w:val="auto"/>
                <w:sz w:val="28"/>
                <w:szCs w:val="28"/>
                <w:highlight w:val="none"/>
                <w:vertAlign w:val="baseline"/>
                <w:lang w:eastAsia="zh-CN"/>
              </w:rPr>
              <w:t>收费标准</w:t>
            </w:r>
          </w:p>
        </w:tc>
      </w:tr>
      <w:tr w14:paraId="7796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3343" w:type="dxa"/>
            <w:noWrap w:val="0"/>
            <w:vAlign w:val="center"/>
          </w:tcPr>
          <w:p w14:paraId="176663BE">
            <w:pPr>
              <w:jc w:val="center"/>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sz w:val="28"/>
                <w:szCs w:val="28"/>
                <w:highlight w:val="none"/>
                <w:vertAlign w:val="baseline"/>
                <w:lang w:eastAsia="zh-CN"/>
              </w:rPr>
              <w:t>临停车</w:t>
            </w:r>
          </w:p>
        </w:tc>
        <w:tc>
          <w:tcPr>
            <w:tcW w:w="5556" w:type="dxa"/>
            <w:noWrap w:val="0"/>
            <w:vAlign w:val="top"/>
          </w:tcPr>
          <w:p w14:paraId="2C26E22D">
            <w:pPr>
              <w:jc w:val="both"/>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1小时内免费，超1小时收费5元，每增加1小时加收1.5元/小时，24小时内20元封顶，超过24小时后循环计费</w:t>
            </w:r>
          </w:p>
        </w:tc>
      </w:tr>
      <w:tr w14:paraId="0ADA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3343" w:type="dxa"/>
            <w:noWrap w:val="0"/>
            <w:vAlign w:val="center"/>
          </w:tcPr>
          <w:p w14:paraId="6588C475">
            <w:pPr>
              <w:jc w:val="center"/>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sz w:val="28"/>
                <w:szCs w:val="28"/>
                <w:highlight w:val="none"/>
                <w:vertAlign w:val="baseline"/>
                <w:lang w:eastAsia="zh-CN"/>
              </w:rPr>
              <w:t>月租车</w:t>
            </w:r>
          </w:p>
        </w:tc>
        <w:tc>
          <w:tcPr>
            <w:tcW w:w="5556" w:type="dxa"/>
            <w:noWrap w:val="0"/>
            <w:vAlign w:val="top"/>
          </w:tcPr>
          <w:p w14:paraId="7E094766">
            <w:pPr>
              <w:jc w:val="both"/>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月租金</w:t>
            </w:r>
            <w:r>
              <w:rPr>
                <w:rFonts w:hint="default" w:ascii="仿宋" w:hAnsi="仿宋" w:eastAsia="仿宋" w:cs="仿宋"/>
                <w:b w:val="0"/>
                <w:bCs w:val="0"/>
                <w:color w:val="auto"/>
                <w:sz w:val="28"/>
                <w:szCs w:val="28"/>
                <w:highlight w:val="none"/>
                <w:vertAlign w:val="baseline"/>
                <w:lang w:val="en-US" w:eastAsia="zh-CN"/>
              </w:rPr>
              <w:t>15</w:t>
            </w:r>
            <w:r>
              <w:rPr>
                <w:rFonts w:hint="eastAsia" w:ascii="仿宋" w:hAnsi="仿宋" w:eastAsia="仿宋" w:cs="仿宋"/>
                <w:b w:val="0"/>
                <w:bCs w:val="0"/>
                <w:color w:val="auto"/>
                <w:sz w:val="28"/>
                <w:szCs w:val="28"/>
                <w:highlight w:val="none"/>
                <w:vertAlign w:val="baseline"/>
                <w:lang w:val="en-US" w:eastAsia="zh-CN"/>
              </w:rPr>
              <w:t>0元/月/辆</w:t>
            </w:r>
          </w:p>
        </w:tc>
      </w:tr>
    </w:tbl>
    <w:p w14:paraId="3EC59992">
      <w:pPr>
        <w:numPr>
          <w:ilvl w:val="0"/>
          <w:numId w:val="1"/>
        </w:numPr>
        <w:spacing w:line="24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系统及数据管理要求：</w:t>
      </w:r>
    </w:p>
    <w:p w14:paraId="4EB3FE60">
      <w:pPr>
        <w:spacing w:line="24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1.收费系统须无条件配合接入镇统一管理平台；</w:t>
      </w:r>
    </w:p>
    <w:p w14:paraId="46C24789">
      <w:pPr>
        <w:spacing w:line="240" w:lineRule="auto"/>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2.收费系统、现场监控系统等须增加东海社区账号作为管理员。</w:t>
      </w:r>
    </w:p>
    <w:p w14:paraId="7DEDFF04">
      <w:pPr>
        <w:spacing w:line="240" w:lineRule="auto"/>
        <w:ind w:firstLine="562" w:firstLineChars="200"/>
        <w:rPr>
          <w:rFonts w:hint="eastAsia" w:ascii="仿宋_GB2312" w:hAnsi="仿宋_GB2312" w:eastAsia="仿宋_GB2312" w:cs="仿宋_GB2312"/>
          <w:color w:val="auto"/>
          <w:sz w:val="28"/>
          <w:szCs w:val="28"/>
          <w:highlight w:val="none"/>
        </w:rPr>
      </w:pPr>
      <w:r>
        <w:rPr>
          <w:rFonts w:hint="eastAsia" w:ascii="黑体" w:hAnsi="黑体" w:eastAsia="黑体" w:cs="黑体"/>
          <w:b/>
          <w:bCs/>
          <w:color w:val="auto"/>
          <w:sz w:val="28"/>
          <w:szCs w:val="28"/>
          <w:highlight w:val="none"/>
        </w:rPr>
        <w:t>二、规划用途：</w:t>
      </w:r>
      <w:r>
        <w:rPr>
          <w:rFonts w:hint="eastAsia" w:ascii="仿宋_GB2312" w:hAnsi="仿宋_GB2312" w:eastAsia="仿宋_GB2312" w:cs="仿宋_GB2312"/>
          <w:color w:val="auto"/>
          <w:sz w:val="28"/>
          <w:szCs w:val="28"/>
          <w:highlight w:val="none"/>
          <w:lang w:eastAsia="zh-CN"/>
        </w:rPr>
        <w:t>出租区域</w:t>
      </w:r>
      <w:r>
        <w:rPr>
          <w:rFonts w:hint="eastAsia" w:ascii="仿宋_GB2312" w:hAnsi="仿宋_GB2312" w:eastAsia="仿宋_GB2312" w:cs="仿宋_GB2312"/>
          <w:color w:val="auto"/>
          <w:sz w:val="28"/>
          <w:szCs w:val="28"/>
          <w:highlight w:val="none"/>
        </w:rPr>
        <w:t>只作</w:t>
      </w:r>
      <w:r>
        <w:rPr>
          <w:rFonts w:hint="eastAsia" w:ascii="仿宋_GB2312" w:hAnsi="仿宋_GB2312" w:eastAsia="仿宋_GB2312" w:cs="仿宋_GB2312"/>
          <w:color w:val="auto"/>
          <w:sz w:val="28"/>
          <w:szCs w:val="28"/>
          <w:highlight w:val="none"/>
          <w:lang w:eastAsia="zh-CN"/>
        </w:rPr>
        <w:t>临时</w:t>
      </w:r>
      <w:r>
        <w:rPr>
          <w:rFonts w:hint="eastAsia" w:ascii="仿宋_GB2312" w:hAnsi="仿宋_GB2312" w:eastAsia="仿宋_GB2312" w:cs="仿宋_GB2312"/>
          <w:b w:val="0"/>
          <w:bCs w:val="0"/>
          <w:color w:val="auto"/>
          <w:sz w:val="28"/>
          <w:szCs w:val="28"/>
          <w:highlight w:val="none"/>
          <w:lang w:val="en-US" w:eastAsia="zh-CN"/>
        </w:rPr>
        <w:t>停车</w:t>
      </w:r>
      <w:r>
        <w:rPr>
          <w:rFonts w:hint="eastAsia" w:ascii="仿宋_GB2312" w:hAnsi="仿宋_GB2312" w:eastAsia="仿宋_GB2312" w:cs="仿宋_GB2312"/>
          <w:color w:val="auto"/>
          <w:sz w:val="28"/>
          <w:szCs w:val="28"/>
          <w:highlight w:val="none"/>
          <w:lang w:eastAsia="zh-CN"/>
        </w:rPr>
        <w:t>使用</w:t>
      </w:r>
      <w:r>
        <w:rPr>
          <w:rFonts w:hint="eastAsia" w:ascii="仿宋_GB2312" w:hAnsi="仿宋_GB2312" w:eastAsia="仿宋_GB2312" w:cs="仿宋_GB2312"/>
          <w:color w:val="auto"/>
          <w:sz w:val="28"/>
          <w:szCs w:val="28"/>
          <w:highlight w:val="none"/>
        </w:rPr>
        <w:t>；</w:t>
      </w:r>
    </w:p>
    <w:p w14:paraId="733B8EC3">
      <w:pPr>
        <w:spacing w:line="240" w:lineRule="auto"/>
        <w:ind w:firstLine="562" w:firstLineChars="200"/>
        <w:rPr>
          <w:rFonts w:hint="eastAsia" w:ascii="仿宋_GB2312" w:hAnsi="仿宋_GB2312" w:eastAsia="仿宋_GB2312" w:cs="仿宋_GB2312"/>
          <w:color w:val="auto"/>
          <w:sz w:val="28"/>
          <w:szCs w:val="28"/>
          <w:highlight w:val="none"/>
        </w:rPr>
      </w:pPr>
      <w:r>
        <w:rPr>
          <w:rFonts w:hint="eastAsia" w:ascii="黑体" w:hAnsi="黑体" w:eastAsia="黑体" w:cs="黑体"/>
          <w:b/>
          <w:bCs/>
          <w:color w:val="auto"/>
          <w:sz w:val="28"/>
          <w:szCs w:val="28"/>
          <w:highlight w:val="none"/>
        </w:rPr>
        <w:t>三、</w:t>
      </w:r>
      <w:r>
        <w:rPr>
          <w:rFonts w:hint="eastAsia" w:ascii="黑体" w:hAnsi="黑体" w:eastAsia="黑体" w:cs="黑体"/>
          <w:b/>
          <w:bCs/>
          <w:color w:val="auto"/>
          <w:sz w:val="28"/>
          <w:szCs w:val="28"/>
          <w:highlight w:val="none"/>
          <w:lang w:val="en-US" w:eastAsia="zh-CN"/>
        </w:rPr>
        <w:t>投标</w:t>
      </w:r>
      <w:r>
        <w:rPr>
          <w:rFonts w:hint="eastAsia" w:ascii="黑体" w:hAnsi="黑体" w:eastAsia="黑体" w:cs="黑体"/>
          <w:b/>
          <w:bCs/>
          <w:color w:val="auto"/>
          <w:sz w:val="28"/>
          <w:szCs w:val="28"/>
          <w:highlight w:val="none"/>
        </w:rPr>
        <w:t>保证金：</w:t>
      </w:r>
      <w:r>
        <w:rPr>
          <w:rFonts w:hint="eastAsia" w:ascii="仿宋_GB2312" w:hAnsi="仿宋_GB2312" w:eastAsia="仿宋_GB2312" w:cs="仿宋_GB2312"/>
          <w:color w:val="auto"/>
          <w:sz w:val="28"/>
          <w:szCs w:val="28"/>
          <w:highlight w:val="none"/>
          <w:lang w:val="en-US" w:eastAsia="zh-CN"/>
        </w:rPr>
        <w:t>50000</w:t>
      </w:r>
      <w:r>
        <w:rPr>
          <w:rFonts w:hint="eastAsia" w:ascii="仿宋_GB2312" w:hAnsi="仿宋_GB2312" w:eastAsia="仿宋_GB2312" w:cs="仿宋_GB2312"/>
          <w:b w:val="0"/>
          <w:bCs w:val="0"/>
          <w:color w:val="auto"/>
          <w:sz w:val="28"/>
          <w:szCs w:val="28"/>
          <w:highlight w:val="none"/>
        </w:rPr>
        <w:t>元人民币</w:t>
      </w:r>
      <w:r>
        <w:rPr>
          <w:rFonts w:hint="eastAsia" w:ascii="仿宋_GB2312" w:hAnsi="仿宋_GB2312" w:eastAsia="仿宋_GB2312" w:cs="仿宋_GB2312"/>
          <w:b w:val="0"/>
          <w:bCs w:val="0"/>
          <w:color w:val="auto"/>
          <w:sz w:val="28"/>
          <w:szCs w:val="28"/>
          <w:highlight w:val="none"/>
          <w:lang w:eastAsia="zh-CN"/>
        </w:rPr>
        <w:t>（大写：伍万元整）</w:t>
      </w:r>
      <w:r>
        <w:rPr>
          <w:rFonts w:hint="eastAsia" w:ascii="仿宋_GB2312" w:hAnsi="仿宋_GB2312" w:eastAsia="仿宋_GB2312" w:cs="仿宋_GB2312"/>
          <w:b w:val="0"/>
          <w:bCs w:val="0"/>
          <w:color w:val="auto"/>
          <w:sz w:val="28"/>
          <w:szCs w:val="28"/>
          <w:highlight w:val="none"/>
        </w:rPr>
        <w:t>；</w:t>
      </w:r>
    </w:p>
    <w:p w14:paraId="02909B8C">
      <w:pPr>
        <w:spacing w:line="240" w:lineRule="auto"/>
        <w:ind w:firstLine="562" w:firstLineChars="200"/>
        <w:rPr>
          <w:rFonts w:hint="eastAsia" w:ascii="仿宋_GB2312" w:hAnsi="仿宋_GB2312" w:eastAsia="仿宋_GB2312" w:cs="仿宋_GB2312"/>
          <w:color w:val="auto"/>
          <w:sz w:val="28"/>
          <w:szCs w:val="28"/>
          <w:highlight w:val="none"/>
        </w:rPr>
      </w:pPr>
      <w:r>
        <w:rPr>
          <w:rFonts w:hint="eastAsia" w:ascii="黑体" w:hAnsi="黑体" w:eastAsia="黑体" w:cs="黑体"/>
          <w:b/>
          <w:bCs/>
          <w:color w:val="auto"/>
          <w:sz w:val="28"/>
          <w:szCs w:val="28"/>
          <w:highlight w:val="none"/>
        </w:rPr>
        <w:t>四、投标报名：</w:t>
      </w:r>
    </w:p>
    <w:p w14:paraId="35312629">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1、参与竞投者须缴纳投标保证金</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lang w:val="en-US" w:eastAsia="zh-CN"/>
        </w:rPr>
        <w:t>缴纳保证金账号必须与竞投者保持一致</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缴交时要备注具体参投项目</w:t>
      </w:r>
      <w:r>
        <w:rPr>
          <w:rFonts w:hint="eastAsia" w:ascii="仿宋_GB2312" w:hAnsi="仿宋_GB2312" w:eastAsia="仿宋_GB2312" w:cs="仿宋_GB2312"/>
          <w:b w:val="0"/>
          <w:bCs w:val="0"/>
          <w:color w:val="auto"/>
          <w:sz w:val="28"/>
          <w:szCs w:val="28"/>
          <w:highlight w:val="none"/>
        </w:rPr>
        <w:t>，竞投者</w:t>
      </w:r>
      <w:r>
        <w:rPr>
          <w:rFonts w:hint="eastAsia" w:ascii="仿宋_GB2312" w:hAnsi="仿宋_GB2312" w:eastAsia="仿宋_GB2312" w:cs="仿宋_GB2312"/>
          <w:color w:val="auto"/>
          <w:sz w:val="28"/>
          <w:szCs w:val="28"/>
          <w:highlight w:val="none"/>
        </w:rPr>
        <w:t>请于</w:t>
      </w:r>
      <w:r>
        <w:rPr>
          <w:rFonts w:hint="eastAsia" w:ascii="仿宋_GB2312" w:hAnsi="仿宋_GB2312" w:eastAsia="仿宋_GB2312" w:cs="仿宋_GB2312"/>
          <w:i w:val="0"/>
          <w:caps w:val="0"/>
          <w:color w:val="auto"/>
          <w:spacing w:val="0"/>
          <w:sz w:val="28"/>
          <w:szCs w:val="28"/>
          <w:highlight w:val="none"/>
        </w:rPr>
        <w:t>202</w:t>
      </w:r>
      <w:r>
        <w:rPr>
          <w:rFonts w:hint="eastAsia" w:ascii="仿宋_GB2312" w:hAnsi="仿宋_GB2312" w:eastAsia="仿宋_GB2312" w:cs="仿宋_GB2312"/>
          <w:i w:val="0"/>
          <w:caps w:val="0"/>
          <w:color w:val="auto"/>
          <w:spacing w:val="0"/>
          <w:sz w:val="28"/>
          <w:szCs w:val="28"/>
          <w:highlight w:val="none"/>
          <w:lang w:val="en-US" w:eastAsia="zh-CN"/>
        </w:rPr>
        <w:t>5</w:t>
      </w:r>
      <w:r>
        <w:rPr>
          <w:rFonts w:hint="eastAsia" w:ascii="仿宋_GB2312" w:hAnsi="仿宋_GB2312" w:eastAsia="仿宋_GB2312" w:cs="仿宋_GB2312"/>
          <w:i w:val="0"/>
          <w:caps w:val="0"/>
          <w:color w:val="auto"/>
          <w:spacing w:val="0"/>
          <w:sz w:val="28"/>
          <w:szCs w:val="28"/>
          <w:highlight w:val="none"/>
        </w:rPr>
        <w:t>年</w:t>
      </w:r>
      <w:r>
        <w:rPr>
          <w:rFonts w:hint="eastAsia" w:ascii="仿宋_GB2312" w:hAnsi="仿宋_GB2312" w:eastAsia="仿宋_GB2312" w:cs="仿宋_GB2312"/>
          <w:i w:val="0"/>
          <w:caps w:val="0"/>
          <w:color w:val="auto"/>
          <w:spacing w:val="0"/>
          <w:sz w:val="28"/>
          <w:szCs w:val="28"/>
          <w:highlight w:val="none"/>
          <w:lang w:val="en-US" w:eastAsia="zh-CN"/>
        </w:rPr>
        <w:t>1</w:t>
      </w:r>
      <w:r>
        <w:rPr>
          <w:rFonts w:hint="eastAsia" w:ascii="仿宋_GB2312" w:hAnsi="仿宋_GB2312" w:eastAsia="仿宋_GB2312" w:cs="仿宋_GB2312"/>
          <w:i w:val="0"/>
          <w:caps w:val="0"/>
          <w:color w:val="auto"/>
          <w:spacing w:val="0"/>
          <w:sz w:val="28"/>
          <w:szCs w:val="28"/>
          <w:highlight w:val="none"/>
        </w:rPr>
        <w:t>月</w:t>
      </w:r>
      <w:r>
        <w:rPr>
          <w:rFonts w:hint="eastAsia" w:ascii="仿宋_GB2312" w:hAnsi="仿宋_GB2312" w:eastAsia="仿宋_GB2312" w:cs="仿宋_GB2312"/>
          <w:i w:val="0"/>
          <w:caps w:val="0"/>
          <w:color w:val="FF0000"/>
          <w:spacing w:val="0"/>
          <w:sz w:val="28"/>
          <w:szCs w:val="28"/>
          <w:highlight w:val="none"/>
          <w:lang w:val="en-US" w:eastAsia="zh-CN"/>
        </w:rPr>
        <w:t>10</w:t>
      </w:r>
      <w:r>
        <w:rPr>
          <w:rFonts w:hint="eastAsia" w:ascii="仿宋_GB2312" w:hAnsi="仿宋_GB2312" w:eastAsia="仿宋_GB2312" w:cs="仿宋_GB2312"/>
          <w:color w:val="auto"/>
          <w:sz w:val="28"/>
          <w:szCs w:val="28"/>
          <w:highlight w:val="none"/>
        </w:rPr>
        <w:t>日16：00</w:t>
      </w:r>
      <w:r>
        <w:rPr>
          <w:rFonts w:hint="eastAsia" w:ascii="仿宋_GB2312" w:hAnsi="仿宋_GB2312" w:eastAsia="仿宋_GB2312" w:cs="仿宋_GB2312"/>
          <w:sz w:val="28"/>
          <w:szCs w:val="28"/>
          <w:highlight w:val="none"/>
        </w:rPr>
        <w:t>前自行到</w:t>
      </w:r>
      <w:r>
        <w:rPr>
          <w:rFonts w:hint="eastAsia" w:ascii="仿宋_GB2312" w:hAnsi="仿宋_GB2312" w:eastAsia="仿宋_GB2312" w:cs="仿宋_GB2312"/>
          <w:sz w:val="28"/>
          <w:szCs w:val="28"/>
          <w:highlight w:val="none"/>
          <w:lang w:eastAsia="zh-CN"/>
        </w:rPr>
        <w:t>建设银行东富路</w:t>
      </w:r>
      <w:r>
        <w:rPr>
          <w:rFonts w:hint="eastAsia" w:ascii="仿宋_GB2312" w:hAnsi="仿宋_GB2312" w:eastAsia="仿宋_GB2312" w:cs="仿宋_GB2312"/>
          <w:sz w:val="28"/>
          <w:szCs w:val="28"/>
          <w:highlight w:val="none"/>
        </w:rPr>
        <w:t>支行缴纳（银行名称：</w:t>
      </w:r>
      <w:r>
        <w:rPr>
          <w:rFonts w:hint="eastAsia" w:ascii="仿宋_GB2312" w:hAnsi="仿宋_GB2312" w:eastAsia="仿宋_GB2312" w:cs="仿宋_GB2312"/>
          <w:sz w:val="28"/>
          <w:szCs w:val="28"/>
          <w:highlight w:val="none"/>
          <w:lang w:eastAsia="zh-CN"/>
        </w:rPr>
        <w:t>中国建设银行中山东凤东富路支行</w:t>
      </w:r>
      <w:r>
        <w:rPr>
          <w:rFonts w:hint="eastAsia" w:ascii="仿宋_GB2312" w:hAnsi="仿宋_GB2312" w:eastAsia="仿宋_GB2312" w:cs="仿宋_GB2312"/>
          <w:sz w:val="28"/>
          <w:szCs w:val="28"/>
          <w:highlight w:val="none"/>
        </w:rPr>
        <w:t>，单位名称：广东省中山市东凤镇东海社区居民委员会，账号：</w:t>
      </w:r>
      <w:r>
        <w:rPr>
          <w:rFonts w:hint="eastAsia" w:ascii="仿宋_GB2312" w:hAnsi="仿宋_GB2312" w:eastAsia="仿宋_GB2312" w:cs="仿宋_GB2312"/>
          <w:sz w:val="28"/>
          <w:szCs w:val="28"/>
          <w:highlight w:val="none"/>
          <w:lang w:val="en-US" w:eastAsia="zh-CN"/>
        </w:rPr>
        <w:t>44050178180100001067</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color w:val="auto"/>
          <w:sz w:val="28"/>
          <w:szCs w:val="28"/>
          <w:highlight w:val="none"/>
        </w:rPr>
        <w:t>。未中标者</w:t>
      </w:r>
      <w:r>
        <w:rPr>
          <w:rFonts w:hint="eastAsia" w:ascii="仿宋_GB2312" w:hAnsi="仿宋_GB2312" w:eastAsia="仿宋_GB2312" w:cs="仿宋_GB2312"/>
          <w:color w:val="auto"/>
          <w:sz w:val="28"/>
          <w:szCs w:val="28"/>
          <w:highlight w:val="none"/>
          <w:lang w:eastAsia="zh-CN"/>
        </w:rPr>
        <w:t>凭</w:t>
      </w:r>
      <w:r>
        <w:rPr>
          <w:rFonts w:hint="eastAsia" w:ascii="仿宋_GB2312" w:hAnsi="仿宋_GB2312" w:eastAsia="仿宋_GB2312" w:cs="仿宋_GB2312"/>
          <w:color w:val="auto"/>
          <w:sz w:val="28"/>
          <w:szCs w:val="28"/>
          <w:highlight w:val="none"/>
          <w:lang w:val="en-US" w:eastAsia="zh-CN"/>
        </w:rPr>
        <w:t>保证金缴款单回执、收款收据办理退回手续，</w:t>
      </w:r>
      <w:r>
        <w:rPr>
          <w:rFonts w:hint="eastAsia" w:ascii="仿宋_GB2312" w:hAnsi="仿宋_GB2312" w:eastAsia="仿宋_GB2312" w:cs="仿宋_GB2312"/>
          <w:color w:val="auto"/>
          <w:sz w:val="28"/>
          <w:szCs w:val="28"/>
          <w:highlight w:val="none"/>
          <w:lang w:eastAsia="zh-CN"/>
        </w:rPr>
        <w:t>社区</w:t>
      </w:r>
      <w:r>
        <w:rPr>
          <w:rFonts w:hint="eastAsia" w:ascii="仿宋_GB2312" w:hAnsi="仿宋_GB2312" w:eastAsia="仿宋_GB2312" w:cs="仿宋_GB2312"/>
          <w:color w:val="auto"/>
          <w:sz w:val="28"/>
          <w:szCs w:val="28"/>
          <w:highlight w:val="none"/>
          <w:lang w:val="en-US" w:eastAsia="zh-CN"/>
        </w:rPr>
        <w:t>于</w:t>
      </w: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个工作日内退还保证金本金</w:t>
      </w:r>
      <w:r>
        <w:rPr>
          <w:rFonts w:hint="eastAsia" w:ascii="仿宋_GB2312" w:hAnsi="仿宋_GB2312" w:eastAsia="仿宋_GB2312" w:cs="仿宋_GB2312"/>
          <w:color w:val="auto"/>
          <w:sz w:val="28"/>
          <w:szCs w:val="28"/>
          <w:highlight w:val="none"/>
          <w:lang w:eastAsia="zh-CN"/>
        </w:rPr>
        <w:t>。</w:t>
      </w:r>
      <w:r>
        <w:rPr>
          <w:rFonts w:hint="eastAsia" w:ascii="仿宋_GB2312" w:hAnsi="仿宋" w:eastAsia="仿宋_GB2312" w:cs="Arial"/>
          <w:color w:val="auto"/>
          <w:kern w:val="0"/>
          <w:sz w:val="28"/>
          <w:szCs w:val="28"/>
          <w:highlight w:val="none"/>
          <w:lang w:val="en-US" w:eastAsia="zh-CN"/>
        </w:rPr>
        <w:t>中标者投标保证金自动转为合同履约金。</w:t>
      </w:r>
    </w:p>
    <w:p w14:paraId="3D8077B5">
      <w:pPr>
        <w:spacing w:line="240" w:lineRule="auto"/>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2、竞投者需具有独立法人资格</w:t>
      </w:r>
      <w:r>
        <w:rPr>
          <w:rFonts w:hint="eastAsia" w:ascii="仿宋_GB2312" w:hAnsi="仿宋_GB2312" w:eastAsia="仿宋_GB2312" w:cs="仿宋_GB2312"/>
          <w:color w:val="auto"/>
          <w:sz w:val="28"/>
          <w:szCs w:val="28"/>
          <w:highlight w:val="none"/>
          <w:lang w:val="en-US" w:eastAsia="zh-CN"/>
        </w:rPr>
        <w:t>企业；</w:t>
      </w:r>
      <w:r>
        <w:rPr>
          <w:rFonts w:hint="eastAsia" w:ascii="仿宋_GB2312" w:hAnsi="仿宋_GB2312" w:eastAsia="仿宋_GB2312" w:cs="仿宋_GB2312"/>
          <w:color w:val="auto"/>
          <w:sz w:val="28"/>
          <w:szCs w:val="28"/>
          <w:highlight w:val="none"/>
        </w:rPr>
        <w:t>具有良好的商业信誉和健全的财务会计制度；</w:t>
      </w:r>
      <w:r>
        <w:rPr>
          <w:rFonts w:hint="eastAsia" w:ascii="仿宋_GB2312" w:hAnsi="仿宋_GB2312" w:eastAsia="仿宋_GB2312" w:cs="仿宋_GB2312"/>
          <w:color w:val="auto"/>
          <w:sz w:val="28"/>
          <w:szCs w:val="28"/>
          <w:highlight w:val="none"/>
          <w:lang w:eastAsia="zh-CN"/>
        </w:rPr>
        <w:t>有物业管理或停车场运营管理服务资质。</w:t>
      </w:r>
      <w:r>
        <w:rPr>
          <w:rFonts w:hint="eastAsia" w:ascii="仿宋_GB2312" w:hAnsi="仿宋_GB2312" w:eastAsia="仿宋_GB2312" w:cs="仿宋_GB2312"/>
          <w:color w:val="auto"/>
          <w:sz w:val="28"/>
          <w:szCs w:val="28"/>
          <w:highlight w:val="none"/>
        </w:rPr>
        <w:t>有依法缴纳税收和社会保障资金的良好记录；参加本次招投标前三年内，在经营活动中没有重大违法记录；不接受联合竞投。在报名截止前携带法人身份证</w:t>
      </w:r>
      <w:r>
        <w:rPr>
          <w:rFonts w:hint="eastAsia" w:ascii="仿宋_GB2312" w:hAnsi="仿宋_GB2312" w:eastAsia="仿宋_GB2312" w:cs="仿宋_GB2312"/>
          <w:color w:val="auto"/>
          <w:sz w:val="28"/>
          <w:szCs w:val="28"/>
          <w:highlight w:val="none"/>
          <w:lang w:eastAsia="zh-CN"/>
        </w:rPr>
        <w:t>（原件、复印件）</w:t>
      </w:r>
      <w:r>
        <w:rPr>
          <w:rFonts w:hint="eastAsia" w:ascii="仿宋_GB2312" w:hAnsi="仿宋_GB2312" w:eastAsia="仿宋_GB2312" w:cs="仿宋_GB2312"/>
          <w:color w:val="auto"/>
          <w:sz w:val="28"/>
          <w:szCs w:val="28"/>
          <w:highlight w:val="none"/>
        </w:rPr>
        <w:t>、营业执照</w:t>
      </w:r>
      <w:r>
        <w:rPr>
          <w:rFonts w:hint="eastAsia" w:ascii="仿宋_GB2312" w:hAnsi="仿宋_GB2312" w:eastAsia="仿宋_GB2312" w:cs="仿宋_GB2312"/>
          <w:color w:val="auto"/>
          <w:sz w:val="28"/>
          <w:szCs w:val="28"/>
          <w:highlight w:val="none"/>
          <w:lang w:eastAsia="zh-CN"/>
        </w:rPr>
        <w:t>（原件、复印件）</w:t>
      </w:r>
      <w:r>
        <w:rPr>
          <w:rFonts w:hint="eastAsia" w:ascii="仿宋_GB2312" w:hAnsi="仿宋_GB2312" w:eastAsia="仿宋_GB2312" w:cs="仿宋_GB2312"/>
          <w:color w:val="auto"/>
          <w:sz w:val="28"/>
          <w:szCs w:val="28"/>
          <w:highlight w:val="none"/>
        </w:rPr>
        <w:t>、保证金缴款单回执等资料到我</w:t>
      </w:r>
      <w:r>
        <w:rPr>
          <w:rFonts w:hint="eastAsia" w:ascii="仿宋_GB2312" w:hAnsi="仿宋_GB2312" w:eastAsia="仿宋_GB2312" w:cs="仿宋_GB2312"/>
          <w:color w:val="auto"/>
          <w:sz w:val="28"/>
          <w:szCs w:val="28"/>
          <w:highlight w:val="none"/>
          <w:lang w:eastAsia="zh-CN"/>
        </w:rPr>
        <w:t>社区</w:t>
      </w:r>
      <w:r>
        <w:rPr>
          <w:rFonts w:hint="eastAsia" w:ascii="仿宋_GB2312" w:hAnsi="仿宋_GB2312" w:eastAsia="仿宋_GB2312" w:cs="仿宋_GB2312"/>
          <w:color w:val="auto"/>
          <w:sz w:val="28"/>
          <w:szCs w:val="28"/>
          <w:highlight w:val="none"/>
        </w:rPr>
        <w:t>进行登记</w:t>
      </w:r>
      <w:r>
        <w:rPr>
          <w:rFonts w:hint="eastAsia" w:ascii="仿宋_GB2312" w:hAnsi="仿宋_GB2312" w:eastAsia="仿宋_GB2312" w:cs="仿宋_GB2312"/>
          <w:color w:val="auto"/>
          <w:sz w:val="28"/>
          <w:szCs w:val="28"/>
          <w:highlight w:val="none"/>
          <w:lang w:eastAsia="zh-CN"/>
        </w:rPr>
        <w:t>报名</w:t>
      </w:r>
      <w:r>
        <w:rPr>
          <w:rFonts w:hint="eastAsia" w:ascii="仿宋_GB2312" w:hAnsi="仿宋_GB2312" w:eastAsia="仿宋_GB2312" w:cs="仿宋_GB2312"/>
          <w:color w:val="auto"/>
          <w:sz w:val="28"/>
          <w:szCs w:val="28"/>
          <w:highlight w:val="none"/>
        </w:rPr>
        <w:t>，领取投标确认书参加投标。</w:t>
      </w:r>
      <w:r>
        <w:rPr>
          <w:rFonts w:hint="eastAsia" w:ascii="仿宋_GB2312" w:hAnsi="仿宋_GB2312" w:eastAsia="仿宋_GB2312" w:cs="仿宋_GB2312"/>
          <w:color w:val="auto"/>
          <w:sz w:val="28"/>
          <w:szCs w:val="28"/>
          <w:highlight w:val="none"/>
          <w:lang w:eastAsia="zh-CN"/>
        </w:rPr>
        <w:t>如代理人报名，则须提交委托代理书。</w:t>
      </w:r>
    </w:p>
    <w:p w14:paraId="005DF967">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b w:val="0"/>
          <w:bCs w:val="0"/>
          <w:color w:val="auto"/>
          <w:sz w:val="28"/>
          <w:szCs w:val="28"/>
          <w:highlight w:val="none"/>
        </w:rPr>
        <w:t>招标人不组织现场踏</w:t>
      </w:r>
      <w:r>
        <w:rPr>
          <w:rFonts w:hint="eastAsia" w:ascii="仿宋_GB2312" w:hAnsi="仿宋_GB2312" w:eastAsia="仿宋_GB2312" w:cs="仿宋_GB2312"/>
          <w:b w:val="0"/>
          <w:bCs w:val="0"/>
          <w:color w:val="auto"/>
          <w:sz w:val="28"/>
          <w:szCs w:val="28"/>
          <w:highlight w:val="none"/>
          <w:lang w:val="en-US" w:eastAsia="zh-CN"/>
        </w:rPr>
        <w:t>勘</w:t>
      </w:r>
      <w:r>
        <w:rPr>
          <w:rFonts w:hint="eastAsia" w:ascii="仿宋_GB2312" w:hAnsi="仿宋_GB2312" w:eastAsia="仿宋_GB2312" w:cs="仿宋_GB2312"/>
          <w:b w:val="0"/>
          <w:bCs w:val="0"/>
          <w:color w:val="auto"/>
          <w:sz w:val="28"/>
          <w:szCs w:val="28"/>
          <w:highlight w:val="none"/>
        </w:rPr>
        <w:t>，投标人须自行对租赁物进行踏</w:t>
      </w:r>
      <w:r>
        <w:rPr>
          <w:rFonts w:hint="eastAsia" w:ascii="仿宋_GB2312" w:hAnsi="仿宋_GB2312" w:eastAsia="仿宋_GB2312" w:cs="仿宋_GB2312"/>
          <w:b w:val="0"/>
          <w:bCs w:val="0"/>
          <w:color w:val="auto"/>
          <w:sz w:val="28"/>
          <w:szCs w:val="28"/>
          <w:highlight w:val="none"/>
          <w:lang w:val="en-US" w:eastAsia="zh-CN"/>
        </w:rPr>
        <w:t>勘</w:t>
      </w:r>
      <w:r>
        <w:rPr>
          <w:rFonts w:hint="eastAsia" w:ascii="仿宋_GB2312" w:hAnsi="仿宋_GB2312" w:eastAsia="仿宋_GB2312" w:cs="仿宋_GB2312"/>
          <w:b w:val="0"/>
          <w:bCs w:val="0"/>
          <w:color w:val="auto"/>
          <w:sz w:val="28"/>
          <w:szCs w:val="28"/>
          <w:highlight w:val="none"/>
        </w:rPr>
        <w:t>，了解租赁物现状情况</w:t>
      </w: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lang w:val="en-US" w:eastAsia="zh-CN"/>
        </w:rPr>
        <w:t>以土地现状交付使用</w:t>
      </w:r>
      <w:r>
        <w:rPr>
          <w:rFonts w:hint="eastAsia" w:ascii="仿宋_GB2312" w:hAnsi="仿宋_GB2312" w:eastAsia="仿宋_GB2312" w:cs="仿宋_GB2312"/>
          <w:b w:val="0"/>
          <w:bCs w:val="0"/>
          <w:color w:val="auto"/>
          <w:sz w:val="28"/>
          <w:szCs w:val="28"/>
          <w:highlight w:val="none"/>
        </w:rPr>
        <w:t>。</w:t>
      </w:r>
    </w:p>
    <w:p w14:paraId="44472492">
      <w:pPr>
        <w:spacing w:line="240" w:lineRule="auto"/>
        <w:ind w:firstLine="560" w:firstLineChars="200"/>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b w:val="0"/>
          <w:bCs w:val="0"/>
          <w:color w:val="auto"/>
          <w:sz w:val="28"/>
          <w:szCs w:val="28"/>
          <w:highlight w:val="none"/>
        </w:rPr>
        <w:t>如项目用地在租赁期间涉及违法用地相关情况，承租方无条件服从处理，相关费用及责任由承租方承担，如承租方在整改期内未完成整改，我</w:t>
      </w:r>
      <w:r>
        <w:rPr>
          <w:rFonts w:hint="eastAsia" w:ascii="仿宋_GB2312" w:hAnsi="仿宋_GB2312" w:eastAsia="仿宋_GB2312" w:cs="仿宋_GB2312"/>
          <w:b w:val="0"/>
          <w:bCs w:val="0"/>
          <w:color w:val="auto"/>
          <w:sz w:val="28"/>
          <w:szCs w:val="28"/>
          <w:highlight w:val="none"/>
          <w:lang w:eastAsia="zh-CN"/>
        </w:rPr>
        <w:t>社区</w:t>
      </w:r>
      <w:r>
        <w:rPr>
          <w:rFonts w:hint="eastAsia" w:ascii="仿宋_GB2312" w:hAnsi="仿宋_GB2312" w:eastAsia="仿宋_GB2312" w:cs="仿宋_GB2312"/>
          <w:b w:val="0"/>
          <w:bCs w:val="0"/>
          <w:color w:val="auto"/>
          <w:sz w:val="28"/>
          <w:szCs w:val="28"/>
          <w:highlight w:val="none"/>
        </w:rPr>
        <w:t>有权使用承租方所缴纳的按金用于处理该地块的违法用地所产生的费用。</w:t>
      </w:r>
    </w:p>
    <w:p w14:paraId="4D99CEBC">
      <w:pPr>
        <w:spacing w:line="240" w:lineRule="auto"/>
        <w:ind w:firstLine="562" w:firstLineChars="200"/>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五、投标：</w:t>
      </w:r>
    </w:p>
    <w:p w14:paraId="4CFE3CB5">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1、招投标方式和评标办法：采取现场明标出价方式竞投，出价最高且高于底价者为中标单位。</w:t>
      </w:r>
    </w:p>
    <w:p w14:paraId="062345AC">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2、第一次竞价可平价，之后每次竞价增加幅度不少于</w:t>
      </w:r>
      <w:r>
        <w:rPr>
          <w:rFonts w:hint="eastAsia" w:ascii="仿宋_GB2312" w:hAnsi="仿宋_GB2312" w:eastAsia="仿宋_GB2312" w:cs="仿宋_GB2312"/>
          <w:color w:val="auto"/>
          <w:sz w:val="28"/>
          <w:szCs w:val="28"/>
          <w:highlight w:val="none"/>
          <w:lang w:val="en-US" w:eastAsia="zh-CN"/>
        </w:rPr>
        <w:t>底价的10%</w:t>
      </w:r>
      <w:r>
        <w:rPr>
          <w:rFonts w:hint="eastAsia" w:ascii="仿宋_GB2312" w:hAnsi="仿宋_GB2312" w:eastAsia="仿宋_GB2312" w:cs="仿宋_GB2312"/>
          <w:color w:val="auto"/>
          <w:sz w:val="28"/>
          <w:szCs w:val="28"/>
          <w:highlight w:val="none"/>
        </w:rPr>
        <w:t>。</w:t>
      </w:r>
    </w:p>
    <w:p w14:paraId="71FFE999">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3、如参与竞投者本人无法到场、则代理人需携带委托书和身份证复印件（需加盖公章）到场代理参与竞标。</w:t>
      </w:r>
    </w:p>
    <w:p w14:paraId="1340290B">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4、不限参加竞投单位数量，如只有一家单位</w:t>
      </w:r>
      <w:r>
        <w:rPr>
          <w:rFonts w:hint="eastAsia" w:ascii="仿宋_GB2312" w:hAnsi="仿宋_GB2312" w:eastAsia="仿宋_GB2312" w:cs="仿宋_GB2312"/>
          <w:color w:val="auto"/>
          <w:sz w:val="28"/>
          <w:szCs w:val="28"/>
          <w:highlight w:val="none"/>
          <w:lang w:eastAsia="zh-CN"/>
        </w:rPr>
        <w:t>报名</w:t>
      </w:r>
      <w:r>
        <w:rPr>
          <w:rFonts w:hint="eastAsia" w:ascii="仿宋_GB2312" w:hAnsi="仿宋_GB2312" w:eastAsia="仿宋_GB2312" w:cs="仿宋_GB2312"/>
          <w:color w:val="auto"/>
          <w:sz w:val="28"/>
          <w:szCs w:val="28"/>
          <w:highlight w:val="none"/>
        </w:rPr>
        <w:t>竞</w:t>
      </w:r>
      <w:r>
        <w:rPr>
          <w:rFonts w:hint="eastAsia" w:ascii="仿宋_GB2312" w:hAnsi="仿宋_GB2312" w:eastAsia="仿宋_GB2312" w:cs="仿宋_GB2312"/>
          <w:color w:val="auto"/>
          <w:sz w:val="28"/>
          <w:szCs w:val="28"/>
          <w:highlight w:val="none"/>
          <w:lang w:eastAsia="zh-CN"/>
        </w:rPr>
        <w:t>投</w:t>
      </w:r>
      <w:r>
        <w:rPr>
          <w:rFonts w:hint="eastAsia" w:ascii="仿宋_GB2312" w:hAnsi="仿宋_GB2312" w:eastAsia="仿宋_GB2312" w:cs="仿宋_GB2312"/>
          <w:color w:val="auto"/>
          <w:sz w:val="28"/>
          <w:szCs w:val="28"/>
          <w:highlight w:val="none"/>
        </w:rPr>
        <w:t>也正常开标。</w:t>
      </w:r>
    </w:p>
    <w:p w14:paraId="25B5E5C5">
      <w:pPr>
        <w:spacing w:line="240" w:lineRule="auto"/>
        <w:ind w:firstLine="562" w:firstLineChars="200"/>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六、招投标时间安排：</w:t>
      </w:r>
    </w:p>
    <w:p w14:paraId="4B8DB206">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竞标报名截止：</w:t>
      </w:r>
      <w:r>
        <w:rPr>
          <w:rFonts w:hint="eastAsia" w:ascii="仿宋_GB2312" w:hAnsi="仿宋_GB2312" w:eastAsia="仿宋_GB2312" w:cs="仿宋_GB2312"/>
          <w:i w:val="0"/>
          <w:caps w:val="0"/>
          <w:color w:val="auto"/>
          <w:spacing w:val="0"/>
          <w:sz w:val="28"/>
          <w:szCs w:val="28"/>
          <w:highlight w:val="none"/>
          <w:lang w:val="en-US" w:eastAsia="zh-CN"/>
        </w:rPr>
        <w:t>2025</w:t>
      </w:r>
      <w:r>
        <w:rPr>
          <w:rFonts w:hint="eastAsia" w:ascii="仿宋_GB2312" w:hAnsi="仿宋_GB2312" w:eastAsia="仿宋_GB2312" w:cs="仿宋_GB2312"/>
          <w:i w:val="0"/>
          <w:caps w:val="0"/>
          <w:color w:val="auto"/>
          <w:spacing w:val="0"/>
          <w:sz w:val="28"/>
          <w:szCs w:val="28"/>
          <w:highlight w:val="none"/>
        </w:rPr>
        <w:t>年</w:t>
      </w:r>
      <w:r>
        <w:rPr>
          <w:rFonts w:hint="eastAsia" w:ascii="仿宋_GB2312" w:hAnsi="仿宋_GB2312" w:eastAsia="仿宋_GB2312" w:cs="仿宋_GB2312"/>
          <w:i w:val="0"/>
          <w:caps w:val="0"/>
          <w:color w:val="auto"/>
          <w:spacing w:val="0"/>
          <w:sz w:val="28"/>
          <w:szCs w:val="28"/>
          <w:highlight w:val="none"/>
          <w:lang w:val="en-US" w:eastAsia="zh-CN"/>
        </w:rPr>
        <w:t>1</w:t>
      </w:r>
      <w:r>
        <w:rPr>
          <w:rFonts w:hint="eastAsia" w:ascii="仿宋_GB2312" w:hAnsi="仿宋_GB2312" w:eastAsia="仿宋_GB2312" w:cs="仿宋_GB2312"/>
          <w:i w:val="0"/>
          <w:caps w:val="0"/>
          <w:color w:val="auto"/>
          <w:spacing w:val="0"/>
          <w:sz w:val="28"/>
          <w:szCs w:val="28"/>
          <w:highlight w:val="none"/>
        </w:rPr>
        <w:t>月</w:t>
      </w:r>
      <w:r>
        <w:rPr>
          <w:rFonts w:hint="eastAsia" w:ascii="仿宋_GB2312" w:hAnsi="仿宋_GB2312" w:eastAsia="仿宋_GB2312" w:cs="仿宋_GB2312"/>
          <w:i w:val="0"/>
          <w:caps w:val="0"/>
          <w:color w:val="FF0000"/>
          <w:spacing w:val="0"/>
          <w:sz w:val="28"/>
          <w:szCs w:val="28"/>
          <w:highlight w:val="none"/>
          <w:lang w:val="en-US" w:eastAsia="zh-CN"/>
        </w:rPr>
        <w:t>10</w:t>
      </w:r>
      <w:r>
        <w:rPr>
          <w:rFonts w:hint="eastAsia" w:ascii="仿宋_GB2312" w:hAnsi="仿宋_GB2312" w:eastAsia="仿宋_GB2312" w:cs="仿宋_GB2312"/>
          <w:color w:val="auto"/>
          <w:sz w:val="28"/>
          <w:szCs w:val="28"/>
          <w:highlight w:val="none"/>
        </w:rPr>
        <w:t>日1</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00；</w:t>
      </w:r>
    </w:p>
    <w:p w14:paraId="716F77D1">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公开竞标日期：</w:t>
      </w:r>
      <w:r>
        <w:rPr>
          <w:rFonts w:hint="eastAsia" w:ascii="仿宋_GB2312" w:hAnsi="仿宋_GB2312" w:eastAsia="仿宋_GB2312" w:cs="仿宋_GB2312"/>
          <w:color w:val="auto"/>
          <w:sz w:val="28"/>
          <w:szCs w:val="28"/>
          <w:highlight w:val="none"/>
          <w:lang w:eastAsia="zh-CN"/>
        </w:rPr>
        <w:t>另行通知</w:t>
      </w:r>
      <w:r>
        <w:rPr>
          <w:rFonts w:hint="eastAsia" w:ascii="仿宋_GB2312" w:hAnsi="仿宋_GB2312" w:eastAsia="仿宋_GB2312" w:cs="仿宋_GB2312"/>
          <w:color w:val="auto"/>
          <w:sz w:val="28"/>
          <w:szCs w:val="28"/>
          <w:highlight w:val="none"/>
        </w:rPr>
        <w:t>；</w:t>
      </w:r>
    </w:p>
    <w:p w14:paraId="41C57A30">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公开竞标地址：东凤镇凤翔大道13号</w:t>
      </w:r>
      <w:r>
        <w:rPr>
          <w:rFonts w:hint="eastAsia" w:ascii="仿宋_GB2312" w:hAnsi="仿宋_GB2312" w:eastAsia="仿宋_GB2312" w:cs="仿宋_GB2312"/>
          <w:color w:val="auto"/>
          <w:sz w:val="28"/>
          <w:szCs w:val="28"/>
          <w:highlight w:val="none"/>
          <w:lang w:eastAsia="zh-CN"/>
        </w:rPr>
        <w:t>平安法治办</w:t>
      </w:r>
      <w:r>
        <w:rPr>
          <w:rFonts w:hint="eastAsia" w:ascii="仿宋_GB2312" w:hAnsi="仿宋_GB2312" w:eastAsia="仿宋_GB2312" w:cs="仿宋_GB2312"/>
          <w:color w:val="auto"/>
          <w:sz w:val="28"/>
          <w:szCs w:val="28"/>
          <w:highlight w:val="none"/>
        </w:rPr>
        <w:t>五楼开标室</w:t>
      </w:r>
      <w:r>
        <w:rPr>
          <w:rFonts w:hint="eastAsia" w:ascii="仿宋_GB2312" w:hAnsi="仿宋_GB2312" w:eastAsia="仿宋_GB2312" w:cs="仿宋_GB2312"/>
          <w:color w:val="auto"/>
          <w:sz w:val="28"/>
          <w:szCs w:val="28"/>
          <w:highlight w:val="none"/>
          <w:lang w:eastAsia="zh-CN"/>
        </w:rPr>
        <w:t>（开标时间、</w:t>
      </w:r>
      <w:r>
        <w:rPr>
          <w:rFonts w:hint="eastAsia" w:ascii="仿宋_GB2312" w:hAnsi="仿宋_GB2312" w:eastAsia="仿宋_GB2312" w:cs="仿宋_GB2312"/>
          <w:color w:val="auto"/>
          <w:sz w:val="28"/>
          <w:szCs w:val="28"/>
          <w:highlight w:val="none"/>
          <w:lang w:val="en-US" w:eastAsia="zh-CN"/>
        </w:rPr>
        <w:t>地点有变化将会电话通知）</w:t>
      </w:r>
      <w:r>
        <w:rPr>
          <w:rFonts w:hint="eastAsia" w:ascii="仿宋_GB2312" w:hAnsi="仿宋_GB2312" w:eastAsia="仿宋_GB2312" w:cs="仿宋_GB2312"/>
          <w:color w:val="auto"/>
          <w:sz w:val="28"/>
          <w:szCs w:val="28"/>
          <w:highlight w:val="none"/>
        </w:rPr>
        <w:t>；</w:t>
      </w:r>
    </w:p>
    <w:p w14:paraId="2818F78F">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竞标者迟到10分钟以上作弃权处理；</w:t>
      </w:r>
    </w:p>
    <w:p w14:paraId="7166BB5E">
      <w:pPr>
        <w:spacing w:line="240" w:lineRule="auto"/>
        <w:ind w:firstLine="562" w:firstLineChars="200"/>
        <w:rPr>
          <w:rFonts w:hint="eastAsia"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七、其他：</w:t>
      </w:r>
    </w:p>
    <w:p w14:paraId="2E3AA34F">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1、中标单位在中标通知书发出之日起三十日内必须缴清合同履约保证金</w:t>
      </w:r>
      <w:r>
        <w:rPr>
          <w:rFonts w:hint="eastAsia" w:ascii="仿宋_GB2312" w:hAnsi="仿宋_GB2312" w:eastAsia="仿宋_GB2312" w:cs="仿宋_GB2312"/>
          <w:color w:val="auto"/>
          <w:sz w:val="28"/>
          <w:szCs w:val="28"/>
          <w:highlight w:val="none"/>
          <w:lang w:eastAsia="zh-CN"/>
        </w:rPr>
        <w:t>（投标保证金自动转为履约保证金）</w:t>
      </w:r>
      <w:r>
        <w:rPr>
          <w:rFonts w:hint="eastAsia" w:ascii="仿宋_GB2312" w:hAnsi="仿宋_GB2312" w:eastAsia="仿宋_GB2312" w:cs="仿宋_GB2312"/>
          <w:color w:val="auto"/>
          <w:sz w:val="28"/>
          <w:szCs w:val="28"/>
          <w:highlight w:val="none"/>
        </w:rPr>
        <w:t>和签订合同，逾期不签订合同，则视作弃标处理，并没收投标保证金。</w:t>
      </w:r>
    </w:p>
    <w:p w14:paraId="657302EE">
      <w:pPr>
        <w:spacing w:line="240" w:lineRule="auto"/>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lang w:eastAsia="zh-CN"/>
        </w:rPr>
        <w:t>中标单位需承担中标项目第三方资产评估费用</w:t>
      </w:r>
      <w:r>
        <w:rPr>
          <w:rFonts w:hint="eastAsia" w:ascii="仿宋_GB2312" w:hAnsi="仿宋_GB2312" w:eastAsia="仿宋_GB2312" w:cs="仿宋_GB2312"/>
          <w:color w:val="auto"/>
          <w:sz w:val="28"/>
          <w:szCs w:val="28"/>
          <w:highlight w:val="none"/>
          <w:lang w:val="en-US" w:eastAsia="zh-CN"/>
        </w:rPr>
        <w:t>900元，</w:t>
      </w:r>
      <w:r>
        <w:rPr>
          <w:rFonts w:hint="eastAsia" w:ascii="仿宋_GB2312" w:hAnsi="仿宋_GB2312" w:eastAsia="仿宋_GB2312" w:cs="仿宋_GB2312"/>
          <w:color w:val="auto"/>
          <w:sz w:val="28"/>
          <w:szCs w:val="28"/>
          <w:highlight w:val="none"/>
          <w:lang w:eastAsia="zh-CN"/>
        </w:rPr>
        <w:t>中标单位</w:t>
      </w:r>
      <w:r>
        <w:rPr>
          <w:rFonts w:hint="eastAsia" w:ascii="仿宋_GB2312" w:hAnsi="仿宋_GB2312" w:eastAsia="仿宋_GB2312" w:cs="仿宋_GB2312"/>
          <w:color w:val="auto"/>
          <w:sz w:val="28"/>
          <w:szCs w:val="28"/>
          <w:highlight w:val="none"/>
          <w:lang w:val="en-US" w:eastAsia="zh-CN"/>
        </w:rPr>
        <w:t>直接与评估公社区结算该笔评估费用。</w:t>
      </w:r>
    </w:p>
    <w:p w14:paraId="1327606F">
      <w:pPr>
        <w:spacing w:line="24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3、其他租赁条款于租赁合同中约定。</w:t>
      </w:r>
    </w:p>
    <w:p w14:paraId="64CE5B2C">
      <w:pPr>
        <w:spacing w:line="24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、此租赁方案最终解释权归我</w:t>
      </w:r>
      <w:r>
        <w:rPr>
          <w:rFonts w:hint="eastAsia" w:ascii="仿宋_GB2312" w:hAnsi="仿宋_GB2312" w:eastAsia="仿宋_GB2312" w:cs="仿宋_GB2312"/>
          <w:color w:val="auto"/>
          <w:sz w:val="28"/>
          <w:szCs w:val="28"/>
          <w:highlight w:val="none"/>
          <w:lang w:eastAsia="zh-CN"/>
        </w:rPr>
        <w:t>社区</w:t>
      </w:r>
      <w:r>
        <w:rPr>
          <w:rFonts w:hint="eastAsia" w:ascii="仿宋_GB2312" w:hAnsi="仿宋_GB2312" w:eastAsia="仿宋_GB2312" w:cs="仿宋_GB2312"/>
          <w:color w:val="auto"/>
          <w:sz w:val="28"/>
          <w:szCs w:val="28"/>
          <w:highlight w:val="none"/>
        </w:rPr>
        <w:t>。</w:t>
      </w:r>
    </w:p>
    <w:p w14:paraId="7E5D9BCF">
      <w:pPr>
        <w:spacing w:line="240" w:lineRule="auto"/>
        <w:ind w:firstLine="560" w:firstLineChars="200"/>
        <w:rPr>
          <w:rFonts w:hint="eastAsia" w:ascii="仿宋_GB2312" w:hAnsi="仿宋_GB2312" w:eastAsia="仿宋_GB2312" w:cs="仿宋_GB2312"/>
          <w:color w:val="auto"/>
          <w:sz w:val="28"/>
          <w:szCs w:val="28"/>
          <w:highlight w:val="none"/>
        </w:rPr>
      </w:pPr>
    </w:p>
    <w:p w14:paraId="173BDF36">
      <w:pPr>
        <w:spacing w:line="240" w:lineRule="auto"/>
        <w:ind w:firstLine="560" w:firstLineChars="200"/>
        <w:jc w:val="righ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 xml:space="preserve">                      中山市东凤镇</w:t>
      </w:r>
      <w:r>
        <w:rPr>
          <w:rFonts w:hint="eastAsia" w:ascii="仿宋_GB2312" w:hAnsi="仿宋_GB2312" w:eastAsia="仿宋_GB2312" w:cs="仿宋_GB2312"/>
          <w:color w:val="auto"/>
          <w:sz w:val="28"/>
          <w:szCs w:val="28"/>
          <w:highlight w:val="none"/>
          <w:lang w:eastAsia="zh-CN"/>
        </w:rPr>
        <w:t>东海社区居民委员会</w:t>
      </w:r>
    </w:p>
    <w:p w14:paraId="4C5CC8D1">
      <w:pPr>
        <w:spacing w:line="240" w:lineRule="auto"/>
        <w:ind w:firstLine="560" w:firstLineChars="200"/>
        <w:jc w:val="righ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i w:val="0"/>
          <w:caps w:val="0"/>
          <w:color w:val="auto"/>
          <w:spacing w:val="0"/>
          <w:sz w:val="28"/>
          <w:szCs w:val="28"/>
          <w:highlight w:val="none"/>
          <w:lang w:val="en-US" w:eastAsia="zh-CN"/>
        </w:rPr>
        <w:t>2025</w:t>
      </w:r>
      <w:r>
        <w:rPr>
          <w:rFonts w:hint="eastAsia" w:ascii="仿宋_GB2312" w:hAnsi="仿宋_GB2312" w:eastAsia="仿宋_GB2312" w:cs="仿宋_GB2312"/>
          <w:i w:val="0"/>
          <w:caps w:val="0"/>
          <w:color w:val="auto"/>
          <w:spacing w:val="0"/>
          <w:sz w:val="28"/>
          <w:szCs w:val="28"/>
          <w:highlight w:val="none"/>
        </w:rPr>
        <w:t>年</w:t>
      </w:r>
      <w:r>
        <w:rPr>
          <w:rFonts w:hint="eastAsia" w:ascii="仿宋_GB2312" w:hAnsi="仿宋_GB2312" w:eastAsia="仿宋_GB2312" w:cs="仿宋_GB2312"/>
          <w:i w:val="0"/>
          <w:caps w:val="0"/>
          <w:color w:val="auto"/>
          <w:spacing w:val="0"/>
          <w:sz w:val="28"/>
          <w:szCs w:val="28"/>
          <w:highlight w:val="none"/>
          <w:lang w:val="en-US" w:eastAsia="zh-CN"/>
        </w:rPr>
        <w:t>1</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日</w:t>
      </w:r>
    </w:p>
    <w:p w14:paraId="63E9EAD2">
      <w:pPr>
        <w:spacing w:line="240" w:lineRule="auto"/>
        <w:ind w:firstLine="0" w:firstLineChars="0"/>
        <w:rPr>
          <w:rFonts w:hint="eastAsia" w:ascii="仿宋_GB2312" w:hAnsi="仿宋_GB2312" w:eastAsia="仿宋_GB2312" w:cs="仿宋_GB2312"/>
          <w:bCs w:val="0"/>
          <w:color w:val="auto"/>
          <w:sz w:val="28"/>
          <w:szCs w:val="28"/>
          <w:highlight w:val="none"/>
          <w:lang w:eastAsia="zh-CN"/>
        </w:rPr>
      </w:pPr>
    </w:p>
    <w:p w14:paraId="636C2F8D">
      <w:pPr>
        <w:spacing w:line="240" w:lineRule="auto"/>
        <w:ind w:firstLine="0" w:firstLineChars="0"/>
        <w:rPr>
          <w:rFonts w:hint="eastAsia" w:ascii="仿宋_GB2312" w:hAnsi="仿宋_GB2312" w:eastAsia="仿宋_GB2312" w:cs="仿宋_GB2312"/>
          <w:bCs w:val="0"/>
          <w:color w:val="auto"/>
          <w:sz w:val="28"/>
          <w:szCs w:val="28"/>
          <w:highlight w:val="none"/>
          <w:lang w:eastAsia="zh-CN"/>
        </w:rPr>
      </w:pPr>
    </w:p>
    <w:p w14:paraId="1A116AAF">
      <w:pPr>
        <w:spacing w:line="240" w:lineRule="auto"/>
        <w:ind w:firstLine="560" w:firstLineChars="200"/>
        <w:rPr>
          <w:color w:val="auto"/>
          <w:sz w:val="28"/>
          <w:szCs w:val="28"/>
          <w:highlight w:val="none"/>
        </w:rPr>
      </w:pPr>
      <w:r>
        <w:rPr>
          <w:rFonts w:hint="eastAsia" w:ascii="仿宋_GB2312" w:hAnsi="仿宋_GB2312" w:eastAsia="仿宋_GB2312" w:cs="仿宋_GB2312"/>
          <w:bCs w:val="0"/>
          <w:color w:val="auto"/>
          <w:sz w:val="28"/>
          <w:szCs w:val="28"/>
          <w:highlight w:val="none"/>
          <w:lang w:eastAsia="zh-CN"/>
        </w:rPr>
        <w:t>参加投标人员签名：</w:t>
      </w:r>
    </w:p>
    <w:sectPr>
      <w:footerReference r:id="rId3" w:type="default"/>
      <w:pgSz w:w="11906" w:h="16838"/>
      <w:pgMar w:top="2098" w:right="1474" w:bottom="1984" w:left="1587" w:header="851" w:footer="992" w:gutter="0"/>
      <w:cols w:space="0" w:num="1"/>
      <w:docGrid w:type="lines" w:linePitch="312" w:charSpace="0"/>
    </w:sectPr>
  </w:body>
</w:document>
</file>