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eastAsia="zh-CN"/>
        </w:rPr>
        <w:t>中山市诚艺工业投资有限公司电子信息设备生产线新建项目（诚艺精工产业城）三期8-10栋工程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规划设计方案的公示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中山市诚艺工业投资有限公司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向我局申请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报建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中山市诚艺工业投资有限公司电子信息设备生产线新建项目（诚艺精工产业城）三期8-10栋工程（地址:中山市神湾镇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外沙村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）规划设计方案。现根据相关法律、法规予以公示。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该项目的规划公示牌设在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售楼部门口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主入口处位置，公示期为本公示刊登之日起20个工作日。公示期内，该项目的相关利害关系人可以携带身份证、房地产权属证书等资料到中山市自然资源局第四分局查询相关情况，提交陈述、申辩意见书或者听证申请书。逾期未进行陈述、申辩或听证申请的，视为放弃上述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联系电话：86638541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中山市自然资源局第四分局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E6D9F"/>
    <w:rsid w:val="321D7F06"/>
    <w:rsid w:val="64642E89"/>
    <w:rsid w:val="7DA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2023-11-15T08:04:00Z</dcterms:created>
  <dc:creator>admin</dc:creator>
  <cp:lastModifiedBy>吴雷</cp:lastModifiedBy>
  <dcterms:modified xsi:type="dcterms:W3CDTF">2024-12-20T08:37:59Z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0DFDDAE6ED6B4397A3111F0BA52E8930</vt:lpwstr>
  </property>
</Properties>
</file>