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522042">
      <w:pPr>
        <w:snapToGrid w:val="0"/>
        <w:spacing w:line="360" w:lineRule="auto"/>
        <w:jc w:val="center"/>
        <w:rPr>
          <w:rFonts w:hint="eastAsia" w:ascii="微软简标宋" w:hAnsi="微软简标宋" w:eastAsia="微软简标宋" w:cs="微软简标宋"/>
          <w:b w:val="0"/>
          <w:bCs w:val="0"/>
          <w:sz w:val="44"/>
          <w:szCs w:val="44"/>
          <w:lang w:val="en-US" w:eastAsia="zh-CN"/>
        </w:rPr>
      </w:pPr>
      <w:bookmarkStart w:id="0" w:name="_Hlk168129680"/>
      <w:bookmarkStart w:id="1" w:name="OLE_LINK1"/>
      <w:r>
        <w:rPr>
          <w:rFonts w:hint="eastAsia" w:ascii="微软简标宋" w:hAnsi="微软简标宋" w:eastAsia="微软简标宋" w:cs="微软简标宋"/>
          <w:b w:val="0"/>
          <w:bCs w:val="0"/>
          <w:sz w:val="44"/>
          <w:szCs w:val="44"/>
        </w:rPr>
        <w:t>中山市三角镇全域土地综合整治实施方案</w:t>
      </w:r>
      <w:r>
        <w:rPr>
          <w:rFonts w:hint="eastAsia" w:ascii="微软简标宋" w:hAnsi="微软简标宋" w:eastAsia="微软简标宋" w:cs="微软简标宋"/>
          <w:b w:val="0"/>
          <w:bCs w:val="0"/>
          <w:sz w:val="44"/>
          <w:szCs w:val="44"/>
          <w:lang w:val="en-US" w:eastAsia="zh-CN"/>
        </w:rPr>
        <w:t>（公示草案）</w:t>
      </w:r>
      <w:bookmarkEnd w:id="0"/>
    </w:p>
    <w:bookmarkEnd w:id="1"/>
    <w:p w14:paraId="0BDD498C">
      <w:pPr>
        <w:snapToGrid w:val="0"/>
        <w:spacing w:line="360" w:lineRule="auto"/>
        <w:ind w:firstLine="562" w:firstLineChars="200"/>
        <w:outlineLvl w:val="0"/>
        <w:rPr>
          <w:rFonts w:hint="eastAsia" w:ascii="仿宋_GB2312" w:hAnsi="仿宋_GB2312" w:eastAsia="仿宋_GB2312" w:cs="仿宋_GB2312"/>
          <w:b/>
          <w:bCs/>
          <w:sz w:val="28"/>
          <w:szCs w:val="28"/>
        </w:rPr>
      </w:pPr>
    </w:p>
    <w:p w14:paraId="129D6424">
      <w:pPr>
        <w:snapToGrid w:val="0"/>
        <w:spacing w:line="360" w:lineRule="auto"/>
        <w:ind w:firstLine="560" w:firstLineChars="200"/>
        <w:outlineLvl w:val="0"/>
        <w:rPr>
          <w:rFonts w:hint="eastAsia" w:ascii="黑体" w:hAnsi="黑体" w:eastAsia="黑体" w:cs="黑体"/>
          <w:b w:val="0"/>
          <w:bCs w:val="0"/>
          <w:sz w:val="28"/>
          <w:szCs w:val="28"/>
        </w:rPr>
      </w:pPr>
      <w:r>
        <w:rPr>
          <w:rFonts w:hint="eastAsia" w:ascii="黑体" w:hAnsi="黑体" w:eastAsia="黑体" w:cs="黑体"/>
          <w:b w:val="0"/>
          <w:bCs w:val="0"/>
          <w:sz w:val="28"/>
          <w:szCs w:val="28"/>
        </w:rPr>
        <w:t>一、编制依据</w:t>
      </w:r>
    </w:p>
    <w:p w14:paraId="68F44A94">
      <w:pPr>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贯彻落实省委“1310”具体部署和全省“百县千镇万村高质量发展工程”现场会议精神，加快推进全域土地综合整治，促进城乡土地资源有序有效流动和高效集约配置，助力“百县千镇万村高质量发展工程”，根据《广东省自然资源厅关于深入推进全域土地综合整治工作的通知》（粤自然资修复〔2024〕2281号）等相关文件要求及中山市工作部署安排，编制了《中山市三角镇全域土地综合整治实施方案》（以下简称《方案》）。</w:t>
      </w:r>
    </w:p>
    <w:p w14:paraId="45EF8E98">
      <w:pPr>
        <w:snapToGrid w:val="0"/>
        <w:spacing w:line="360" w:lineRule="auto"/>
        <w:ind w:firstLine="560" w:firstLineChars="200"/>
        <w:outlineLvl w:val="0"/>
        <w:rPr>
          <w:rFonts w:hint="eastAsia" w:ascii="黑体" w:hAnsi="黑体" w:eastAsia="黑体" w:cs="黑体"/>
          <w:b w:val="0"/>
          <w:bCs w:val="0"/>
          <w:sz w:val="28"/>
          <w:szCs w:val="28"/>
        </w:rPr>
      </w:pPr>
      <w:r>
        <w:rPr>
          <w:rFonts w:hint="eastAsia" w:ascii="黑体" w:hAnsi="黑体" w:eastAsia="黑体" w:cs="黑体"/>
          <w:b w:val="0"/>
          <w:bCs w:val="0"/>
          <w:sz w:val="28"/>
          <w:szCs w:val="28"/>
        </w:rPr>
        <w:t>二、项目概况</w:t>
      </w:r>
    </w:p>
    <w:p w14:paraId="1E7A5CC5">
      <w:pPr>
        <w:pStyle w:val="6"/>
        <w:shd w:val="clear" w:color="auto" w:fill="FFFFFF"/>
        <w:spacing w:beforeAutospacing="0" w:afterAutospacing="0" w:line="360" w:lineRule="auto"/>
        <w:ind w:firstLine="560" w:firstLineChars="200"/>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1</w:t>
      </w:r>
      <w:r>
        <w:rPr>
          <w:rFonts w:hint="eastAsia" w:ascii="仿宋_GB2312" w:hAnsi="仿宋_GB2312" w:eastAsia="仿宋_GB2312" w:cs="仿宋_GB2312"/>
          <w:kern w:val="2"/>
          <w:sz w:val="28"/>
          <w:szCs w:val="28"/>
          <w:lang w:val="en-US" w:eastAsia="zh-CN"/>
        </w:rPr>
        <w:t>.</w:t>
      </w:r>
      <w:r>
        <w:rPr>
          <w:rFonts w:hint="eastAsia" w:ascii="仿宋_GB2312" w:hAnsi="仿宋_GB2312" w:eastAsia="仿宋_GB2312" w:cs="仿宋_GB2312"/>
          <w:kern w:val="2"/>
          <w:sz w:val="28"/>
          <w:szCs w:val="28"/>
        </w:rPr>
        <w:t>项目名称：中山市三角镇全域土地综合整治实施方案。</w:t>
      </w:r>
    </w:p>
    <w:p w14:paraId="0ACE7A0D">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项目区域与整治区域：全域土地综合整治项目区域范围及整治区域范围皆为中山市三角镇镇域，包含7个行政村及2个社区。</w:t>
      </w:r>
    </w:p>
    <w:p w14:paraId="69B451F1">
      <w:pPr>
        <w:snapToGrid w:val="0"/>
        <w:spacing w:line="360" w:lineRule="auto"/>
        <w:ind w:firstLine="560" w:firstLineChars="200"/>
        <w:outlineLvl w:val="0"/>
        <w:rPr>
          <w:rFonts w:hint="eastAsia" w:ascii="黑体" w:hAnsi="黑体" w:eastAsia="黑体" w:cs="黑体"/>
          <w:b w:val="0"/>
          <w:bCs w:val="0"/>
          <w:sz w:val="28"/>
          <w:szCs w:val="28"/>
        </w:rPr>
      </w:pPr>
      <w:r>
        <w:rPr>
          <w:rFonts w:hint="eastAsia" w:ascii="黑体" w:hAnsi="黑体" w:eastAsia="黑体" w:cs="黑体"/>
          <w:b w:val="0"/>
          <w:bCs w:val="0"/>
          <w:sz w:val="28"/>
          <w:szCs w:val="28"/>
        </w:rPr>
        <w:t>三、整治目标与任务</w:t>
      </w:r>
    </w:p>
    <w:p w14:paraId="207058E7">
      <w:pPr>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角镇实施全域土地综合整治项目有利于加强全镇土地要素保障，通过衔接“百县千镇万村高质量发展工程”，在近年内集中力量在三角镇城乡发展重点区域打造规模化工程，推进三角镇城乡融合，乡村振兴高质量发展，作为促投资、抓经济的抓手，同时为新项目、大平台、好产业腾挪出空间，为三角镇持续扩大有效投资</w:t>
      </w:r>
      <w:bookmarkStart w:id="8" w:name="_GoBack"/>
      <w:bookmarkEnd w:id="8"/>
      <w:r>
        <w:rPr>
          <w:rFonts w:hint="eastAsia" w:ascii="仿宋_GB2312" w:hAnsi="仿宋_GB2312" w:eastAsia="仿宋_GB2312" w:cs="仿宋_GB2312"/>
          <w:sz w:val="28"/>
          <w:szCs w:val="28"/>
        </w:rPr>
        <w:t>提供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底盘</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整出发展空间，整出发展动能。从三角镇一级，再延伸到村（社区）一级联动，围绕镇的重点、痛点，村的难点，通过落实全域土地综合整治“落规划、腾空间、增耕地、优生态、强活力”五大任务，实现塑造“良田比较集中、产业集聚发展、村庄布局优化、生态健康优美”的整治目标，共同助力百县千镇万村高质量发展。</w:t>
      </w:r>
    </w:p>
    <w:p w14:paraId="1D13C685">
      <w:pPr>
        <w:snapToGrid w:val="0"/>
        <w:spacing w:line="360" w:lineRule="auto"/>
        <w:ind w:firstLine="560" w:firstLineChars="200"/>
        <w:outlineLvl w:val="0"/>
        <w:rPr>
          <w:rFonts w:hint="eastAsia" w:ascii="黑体" w:hAnsi="黑体" w:eastAsia="黑体" w:cs="黑体"/>
          <w:b w:val="0"/>
          <w:bCs w:val="0"/>
          <w:sz w:val="28"/>
          <w:szCs w:val="28"/>
        </w:rPr>
      </w:pPr>
      <w:r>
        <w:rPr>
          <w:rFonts w:hint="eastAsia" w:ascii="黑体" w:hAnsi="黑体" w:eastAsia="黑体" w:cs="黑体"/>
          <w:b w:val="0"/>
          <w:bCs w:val="0"/>
          <w:sz w:val="28"/>
          <w:szCs w:val="28"/>
        </w:rPr>
        <w:t>四、建设内容</w:t>
      </w:r>
    </w:p>
    <w:p w14:paraId="6752B7FF">
      <w:pPr>
        <w:snapToGrid w:val="0"/>
        <w:spacing w:line="360" w:lineRule="auto"/>
        <w:ind w:firstLine="560" w:firstLineChars="200"/>
        <w:outlineLvl w:val="0"/>
        <w:rPr>
          <w:rFonts w:hint="eastAsia" w:ascii="仿宋_GB2312" w:hAnsi="仿宋_GB2312" w:eastAsia="仿宋_GB2312" w:cs="仿宋_GB2312"/>
          <w:b/>
          <w:bCs/>
          <w:sz w:val="28"/>
          <w:szCs w:val="28"/>
        </w:rPr>
      </w:pPr>
      <w:r>
        <w:rPr>
          <w:rFonts w:hint="eastAsia" w:ascii="仿宋_GB2312" w:hAnsi="仿宋_GB2312" w:eastAsia="仿宋_GB2312" w:cs="仿宋_GB2312"/>
          <w:kern w:val="0"/>
          <w:sz w:val="28"/>
          <w:szCs w:val="28"/>
          <w:lang w:bidi="ar"/>
        </w:rPr>
        <w:t>《方案》整治区域为镇域，2025</w:t>
      </w:r>
      <w:r>
        <w:rPr>
          <w:rFonts w:hint="eastAsia" w:ascii="仿宋_GB2312" w:hAnsi="仿宋_GB2312" w:eastAsia="仿宋_GB2312" w:cs="仿宋_GB2312"/>
          <w:kern w:val="0"/>
          <w:sz w:val="28"/>
          <w:szCs w:val="28"/>
          <w:lang w:val="en-US" w:eastAsia="zh-CN" w:bidi="ar"/>
        </w:rPr>
        <w:t>-</w:t>
      </w:r>
      <w:r>
        <w:rPr>
          <w:rFonts w:hint="eastAsia" w:ascii="仿宋_GB2312" w:hAnsi="仿宋_GB2312" w:eastAsia="仿宋_GB2312" w:cs="仿宋_GB2312"/>
          <w:kern w:val="0"/>
          <w:sz w:val="28"/>
          <w:szCs w:val="28"/>
          <w:lang w:bidi="ar"/>
        </w:rPr>
        <w:t>2028年实施期内统筹推进农用地整理类、建设用地整理类、产业导入类、生态保护修复类、乡村风貌提升和历史文化保护类、公共服务与基础设施建设类等6类13个子项目。</w:t>
      </w:r>
    </w:p>
    <w:p w14:paraId="108B201A">
      <w:pPr>
        <w:spacing w:line="360" w:lineRule="auto"/>
        <w:ind w:firstLine="562" w:firstLineChars="200"/>
        <w:outlineLvl w:val="1"/>
        <w:rPr>
          <w:rFonts w:hint="eastAsia" w:ascii="仿宋_GB2312" w:hAnsi="仿宋_GB2312" w:eastAsia="仿宋_GB2312" w:cs="仿宋_GB2312"/>
          <w:kern w:val="0"/>
          <w:sz w:val="28"/>
          <w:szCs w:val="28"/>
          <w:lang w:bidi="ar"/>
        </w:rPr>
      </w:pPr>
      <w:bookmarkStart w:id="2" w:name="_Toc7343"/>
      <w:r>
        <w:rPr>
          <w:rFonts w:hint="eastAsia" w:ascii="仿宋_GB2312" w:hAnsi="仿宋_GB2312" w:eastAsia="仿宋_GB2312" w:cs="仿宋_GB2312"/>
          <w:b/>
          <w:bCs/>
          <w:sz w:val="28"/>
          <w:szCs w:val="28"/>
          <w:shd w:val="clear" w:color="auto" w:fill="FFFFFF"/>
        </w:rPr>
        <w:t>1</w:t>
      </w:r>
      <w:r>
        <w:rPr>
          <w:rFonts w:hint="eastAsia" w:ascii="仿宋_GB2312" w:hAnsi="仿宋_GB2312" w:eastAsia="仿宋_GB2312" w:cs="仿宋_GB2312"/>
          <w:b/>
          <w:bCs/>
          <w:sz w:val="28"/>
          <w:szCs w:val="28"/>
          <w:shd w:val="clear" w:color="auto" w:fill="FFFFFF"/>
          <w:lang w:val="en-US" w:eastAsia="zh-CN"/>
        </w:rPr>
        <w:t>.</w:t>
      </w:r>
      <w:r>
        <w:rPr>
          <w:rFonts w:hint="eastAsia" w:ascii="仿宋_GB2312" w:hAnsi="仿宋_GB2312" w:eastAsia="仿宋_GB2312" w:cs="仿宋_GB2312"/>
          <w:b/>
          <w:bCs/>
          <w:sz w:val="28"/>
          <w:szCs w:val="28"/>
          <w:shd w:val="clear" w:color="auto" w:fill="FFFFFF"/>
        </w:rPr>
        <w:t>农用地整理</w:t>
      </w:r>
      <w:bookmarkEnd w:id="2"/>
      <w:r>
        <w:rPr>
          <w:rFonts w:hint="eastAsia" w:ascii="仿宋_GB2312" w:hAnsi="仿宋_GB2312" w:eastAsia="仿宋_GB2312" w:cs="仿宋_GB2312"/>
          <w:b/>
          <w:bCs/>
          <w:sz w:val="28"/>
          <w:szCs w:val="28"/>
          <w:shd w:val="clear" w:color="auto" w:fill="FFFFFF"/>
        </w:rPr>
        <w:t>项目：</w:t>
      </w:r>
      <w:r>
        <w:rPr>
          <w:rFonts w:hint="eastAsia" w:ascii="仿宋_GB2312" w:hAnsi="仿宋_GB2312" w:eastAsia="仿宋_GB2312" w:cs="仿宋_GB2312"/>
          <w:kern w:val="0"/>
          <w:sz w:val="28"/>
          <w:szCs w:val="28"/>
          <w:lang w:bidi="ar"/>
        </w:rPr>
        <w:t>通过对整治区域内现有土地资源的调查和分析，以破解土地碎片化为导向，开展有针对性的整治活动，整体推进耕地集中整治，促进整治区域耕地集聚连片，水产养殖生态化连片改造，进一步提高土地规模化水平，提高耕地、水产养殖产出率，提升农业综合生产能力，实现农业可持续发展。本方案计划在整治区域安排农用地整理项目2个，项目总面积1180.0036公顷，实施后恢复耕地面积43.2740公顷，整治区域净增加耕地面积41.6623公顷。</w:t>
      </w:r>
    </w:p>
    <w:p w14:paraId="09B64EA1">
      <w:pPr>
        <w:numPr>
          <w:ilvl w:val="255"/>
          <w:numId w:val="0"/>
        </w:numPr>
        <w:spacing w:line="360" w:lineRule="auto"/>
        <w:ind w:firstLine="562" w:firstLineChars="200"/>
        <w:outlineLvl w:val="1"/>
        <w:rPr>
          <w:rFonts w:hint="eastAsia" w:ascii="仿宋_GB2312" w:hAnsi="仿宋_GB2312" w:eastAsia="仿宋_GB2312" w:cs="仿宋_GB2312"/>
          <w:sz w:val="28"/>
          <w:szCs w:val="28"/>
        </w:rPr>
      </w:pPr>
      <w:bookmarkStart w:id="3" w:name="_Toc19314"/>
      <w:r>
        <w:rPr>
          <w:rFonts w:hint="eastAsia" w:ascii="仿宋_GB2312" w:hAnsi="仿宋_GB2312" w:eastAsia="仿宋_GB2312" w:cs="仿宋_GB2312"/>
          <w:b/>
          <w:bCs/>
          <w:sz w:val="28"/>
          <w:szCs w:val="28"/>
          <w:shd w:val="clear" w:color="auto" w:fill="FFFFFF"/>
        </w:rPr>
        <w:t>2</w:t>
      </w:r>
      <w:r>
        <w:rPr>
          <w:rFonts w:hint="eastAsia" w:ascii="仿宋_GB2312" w:hAnsi="仿宋_GB2312" w:eastAsia="仿宋_GB2312" w:cs="仿宋_GB2312"/>
          <w:b/>
          <w:bCs/>
          <w:sz w:val="28"/>
          <w:szCs w:val="28"/>
          <w:shd w:val="clear" w:color="auto" w:fill="FFFFFF"/>
          <w:lang w:val="en-US" w:eastAsia="zh-CN"/>
        </w:rPr>
        <w:t>.</w:t>
      </w:r>
      <w:r>
        <w:rPr>
          <w:rFonts w:hint="eastAsia" w:ascii="仿宋_GB2312" w:hAnsi="仿宋_GB2312" w:eastAsia="仿宋_GB2312" w:cs="仿宋_GB2312"/>
          <w:b/>
          <w:bCs/>
          <w:sz w:val="28"/>
          <w:szCs w:val="28"/>
          <w:shd w:val="clear" w:color="auto" w:fill="FFFFFF"/>
        </w:rPr>
        <w:t>建设用地整理项目</w:t>
      </w:r>
      <w:bookmarkEnd w:id="3"/>
      <w:r>
        <w:rPr>
          <w:rFonts w:hint="eastAsia" w:ascii="仿宋_GB2312" w:hAnsi="仿宋_GB2312" w:eastAsia="仿宋_GB2312" w:cs="仿宋_GB2312"/>
          <w:b/>
          <w:bCs/>
          <w:sz w:val="28"/>
          <w:szCs w:val="28"/>
          <w:shd w:val="clear" w:color="auto" w:fill="FFFFFF"/>
        </w:rPr>
        <w:t>：</w:t>
      </w:r>
      <w:r>
        <w:rPr>
          <w:rFonts w:hint="eastAsia" w:ascii="仿宋_GB2312" w:hAnsi="仿宋_GB2312" w:eastAsia="仿宋_GB2312" w:cs="仿宋_GB2312"/>
          <w:kern w:val="0"/>
          <w:sz w:val="28"/>
          <w:szCs w:val="28"/>
          <w:lang w:bidi="ar"/>
        </w:rPr>
        <w:t>通过对整治区域内各类建设用地的全面梳理和科学评估，针对低效闲置用地、散乱破旧工业区等进行集中整合与合理布局调整，主要通过推进“工改工”等方式释放发展空间，实现土地资源的集约节约利用，引导产业升级转型，促进城市功能结构优化和新型城镇化进程。本方案计划在整治区域安排建设用地整理项目3个，项目总面积13.0787公顷。</w:t>
      </w:r>
    </w:p>
    <w:p w14:paraId="546DF68F">
      <w:pPr>
        <w:spacing w:line="360" w:lineRule="auto"/>
        <w:ind w:firstLine="562" w:firstLineChars="200"/>
        <w:outlineLvl w:val="1"/>
        <w:rPr>
          <w:rFonts w:hint="eastAsia" w:ascii="仿宋_GB2312" w:hAnsi="仿宋_GB2312" w:eastAsia="仿宋_GB2312" w:cs="仿宋_GB2312"/>
          <w:kern w:val="0"/>
          <w:sz w:val="28"/>
          <w:szCs w:val="28"/>
          <w:lang w:bidi="ar"/>
        </w:rPr>
      </w:pPr>
      <w:bookmarkStart w:id="4" w:name="_Toc5722"/>
      <w:r>
        <w:rPr>
          <w:rFonts w:hint="eastAsia" w:ascii="仿宋_GB2312" w:hAnsi="仿宋_GB2312" w:eastAsia="仿宋_GB2312" w:cs="仿宋_GB2312"/>
          <w:b/>
          <w:bCs/>
          <w:sz w:val="28"/>
          <w:szCs w:val="28"/>
          <w:shd w:val="clear" w:color="auto" w:fill="FFFFFF"/>
        </w:rPr>
        <w:t>3</w:t>
      </w:r>
      <w:r>
        <w:rPr>
          <w:rFonts w:hint="eastAsia" w:ascii="仿宋_GB2312" w:hAnsi="仿宋_GB2312" w:eastAsia="仿宋_GB2312" w:cs="仿宋_GB2312"/>
          <w:b/>
          <w:bCs/>
          <w:sz w:val="28"/>
          <w:szCs w:val="28"/>
          <w:shd w:val="clear" w:color="auto" w:fill="FFFFFF"/>
          <w:lang w:val="en-US" w:eastAsia="zh-CN"/>
        </w:rPr>
        <w:t>.</w:t>
      </w:r>
      <w:r>
        <w:rPr>
          <w:rFonts w:hint="eastAsia" w:ascii="仿宋_GB2312" w:hAnsi="仿宋_GB2312" w:eastAsia="仿宋_GB2312" w:cs="仿宋_GB2312"/>
          <w:b/>
          <w:bCs/>
          <w:sz w:val="28"/>
          <w:szCs w:val="28"/>
          <w:shd w:val="clear" w:color="auto" w:fill="FFFFFF"/>
        </w:rPr>
        <w:t>生态保护修复项目</w:t>
      </w:r>
      <w:bookmarkEnd w:id="4"/>
      <w:r>
        <w:rPr>
          <w:rFonts w:hint="eastAsia" w:ascii="仿宋_GB2312" w:hAnsi="仿宋_GB2312" w:eastAsia="仿宋_GB2312" w:cs="仿宋_GB2312"/>
          <w:b/>
          <w:bCs/>
          <w:sz w:val="28"/>
          <w:szCs w:val="28"/>
          <w:shd w:val="clear" w:color="auto" w:fill="FFFFFF"/>
        </w:rPr>
        <w:t>：</w:t>
      </w:r>
      <w:r>
        <w:rPr>
          <w:rFonts w:hint="eastAsia" w:ascii="仿宋_GB2312" w:hAnsi="仿宋_GB2312" w:eastAsia="仿宋_GB2312" w:cs="仿宋_GB2312"/>
          <w:sz w:val="28"/>
          <w:szCs w:val="28"/>
        </w:rPr>
        <w:t>项目</w:t>
      </w:r>
      <w:r>
        <w:rPr>
          <w:rFonts w:hint="eastAsia" w:ascii="仿宋_GB2312" w:hAnsi="仿宋_GB2312" w:eastAsia="仿宋_GB2312" w:cs="仿宋_GB2312"/>
          <w:kern w:val="0"/>
          <w:sz w:val="28"/>
          <w:szCs w:val="28"/>
          <w:lang w:bidi="ar"/>
        </w:rPr>
        <w:t>坚持以保护和恢复水生态功能为主要修复方向，强化水环境治理、水生态保护与修复，提升生态系统服务功能，改善水域周边的生态环境，打造岭南水乡特色滨水界面，坚持规划引领、治建并重，把养殖环境整治与加强生态保护、发展文旅产业、提升民生福祉紧密结合起来，进一步完善功能分区，强化分类整治，谋划重点项目，优化水产养殖业态，以更高标准、更宽视野、更大力度推进养殖尾水治理。</w:t>
      </w:r>
      <w:bookmarkStart w:id="5" w:name="_Toc8639"/>
      <w:r>
        <w:rPr>
          <w:rFonts w:hint="eastAsia" w:ascii="仿宋_GB2312" w:hAnsi="仿宋_GB2312" w:eastAsia="仿宋_GB2312" w:cs="仿宋_GB2312"/>
          <w:kern w:val="0"/>
          <w:sz w:val="28"/>
          <w:szCs w:val="28"/>
          <w:lang w:bidi="ar"/>
        </w:rPr>
        <w:t>本实施方案计划在整治区域安排生态保护修复项目1个，为高平村养殖尾水治理项目，项目总面积183.3882公顷。</w:t>
      </w:r>
    </w:p>
    <w:p w14:paraId="112F6914">
      <w:pPr>
        <w:spacing w:line="360" w:lineRule="auto"/>
        <w:ind w:firstLine="562" w:firstLineChars="200"/>
        <w:outlineLvl w:val="1"/>
        <w:rPr>
          <w:rFonts w:hint="eastAsia" w:ascii="仿宋_GB2312" w:hAnsi="仿宋_GB2312" w:eastAsia="仿宋_GB2312" w:cs="仿宋_GB2312"/>
          <w:kern w:val="0"/>
          <w:sz w:val="28"/>
          <w:szCs w:val="28"/>
          <w:lang w:bidi="ar"/>
        </w:rPr>
      </w:pPr>
      <w:r>
        <w:rPr>
          <w:rFonts w:hint="eastAsia" w:ascii="仿宋_GB2312" w:hAnsi="仿宋_GB2312" w:eastAsia="仿宋_GB2312" w:cs="仿宋_GB2312"/>
          <w:b/>
          <w:bCs/>
          <w:sz w:val="28"/>
          <w:szCs w:val="28"/>
          <w:shd w:val="clear" w:color="auto" w:fill="FFFFFF"/>
        </w:rPr>
        <w:t>4</w:t>
      </w:r>
      <w:r>
        <w:rPr>
          <w:rFonts w:hint="eastAsia" w:ascii="仿宋_GB2312" w:hAnsi="仿宋_GB2312" w:eastAsia="仿宋_GB2312" w:cs="仿宋_GB2312"/>
          <w:b/>
          <w:bCs/>
          <w:sz w:val="28"/>
          <w:szCs w:val="28"/>
          <w:shd w:val="clear" w:color="auto" w:fill="FFFFFF"/>
          <w:lang w:val="en-US" w:eastAsia="zh-CN"/>
        </w:rPr>
        <w:t>.</w:t>
      </w:r>
      <w:r>
        <w:rPr>
          <w:rFonts w:hint="eastAsia" w:ascii="仿宋_GB2312" w:hAnsi="仿宋_GB2312" w:eastAsia="仿宋_GB2312" w:cs="仿宋_GB2312"/>
          <w:b/>
          <w:bCs/>
          <w:sz w:val="28"/>
          <w:szCs w:val="28"/>
          <w:shd w:val="clear" w:color="auto" w:fill="FFFFFF"/>
        </w:rPr>
        <w:t>乡村风貌提升项目</w:t>
      </w:r>
      <w:bookmarkEnd w:id="5"/>
      <w:r>
        <w:rPr>
          <w:rFonts w:hint="eastAsia" w:ascii="仿宋_GB2312" w:hAnsi="仿宋_GB2312" w:eastAsia="仿宋_GB2312" w:cs="仿宋_GB2312"/>
          <w:b/>
          <w:bCs/>
          <w:sz w:val="28"/>
          <w:szCs w:val="28"/>
          <w:shd w:val="clear" w:color="auto" w:fill="FFFFFF"/>
        </w:rPr>
        <w:t>：</w:t>
      </w:r>
      <w:r>
        <w:rPr>
          <w:rFonts w:hint="eastAsia" w:ascii="仿宋_GB2312" w:hAnsi="仿宋_GB2312" w:eastAsia="仿宋_GB2312" w:cs="仿宋_GB2312"/>
          <w:kern w:val="0"/>
          <w:sz w:val="28"/>
          <w:szCs w:val="28"/>
          <w:lang w:bidi="ar"/>
        </w:rPr>
        <w:t>项目围绕提升乡村风貌、改善人居环境、提升生活品质，安排乡村风貌提升和历史文化保护，对老旧房屋进行风貌提升和活化利用，有助于改善农村居住环境，提升居民生活质量，统筹安排乡村风貌提升项目1个，为三角镇“旧城活化，印象三角”项目一期项目，总面积3.7988公顷。</w:t>
      </w:r>
    </w:p>
    <w:p w14:paraId="41AEA805">
      <w:pPr>
        <w:spacing w:line="360" w:lineRule="auto"/>
        <w:ind w:firstLine="562" w:firstLineChars="200"/>
        <w:outlineLvl w:val="1"/>
        <w:rPr>
          <w:rFonts w:hint="eastAsia" w:ascii="仿宋_GB2312" w:hAnsi="仿宋_GB2312" w:eastAsia="仿宋_GB2312" w:cs="仿宋_GB2312"/>
          <w:kern w:val="0"/>
          <w:sz w:val="28"/>
          <w:szCs w:val="28"/>
          <w:lang w:bidi="ar"/>
        </w:rPr>
      </w:pPr>
      <w:bookmarkStart w:id="6" w:name="_Toc9764"/>
      <w:r>
        <w:rPr>
          <w:rFonts w:hint="eastAsia" w:ascii="仿宋_GB2312" w:hAnsi="仿宋_GB2312" w:eastAsia="仿宋_GB2312" w:cs="仿宋_GB2312"/>
          <w:b/>
          <w:bCs/>
          <w:sz w:val="28"/>
          <w:szCs w:val="28"/>
          <w:shd w:val="clear" w:color="auto" w:fill="FFFFFF"/>
        </w:rPr>
        <w:t>5</w:t>
      </w:r>
      <w:r>
        <w:rPr>
          <w:rFonts w:hint="eastAsia" w:ascii="仿宋_GB2312" w:hAnsi="仿宋_GB2312" w:eastAsia="仿宋_GB2312" w:cs="仿宋_GB2312"/>
          <w:b/>
          <w:bCs/>
          <w:sz w:val="28"/>
          <w:szCs w:val="28"/>
          <w:shd w:val="clear" w:color="auto" w:fill="FFFFFF"/>
          <w:lang w:val="en-US" w:eastAsia="zh-CN"/>
        </w:rPr>
        <w:t>.</w:t>
      </w:r>
      <w:r>
        <w:rPr>
          <w:rFonts w:hint="eastAsia" w:ascii="仿宋_GB2312" w:hAnsi="仿宋_GB2312" w:eastAsia="仿宋_GB2312" w:cs="仿宋_GB2312"/>
          <w:b/>
          <w:bCs/>
          <w:sz w:val="28"/>
          <w:szCs w:val="28"/>
          <w:shd w:val="clear" w:color="auto" w:fill="FFFFFF"/>
        </w:rPr>
        <w:t>产业导入类项目</w:t>
      </w:r>
      <w:bookmarkEnd w:id="6"/>
      <w:r>
        <w:rPr>
          <w:rFonts w:hint="eastAsia" w:ascii="仿宋_GB2312" w:hAnsi="仿宋_GB2312" w:eastAsia="仿宋_GB2312" w:cs="仿宋_GB2312"/>
          <w:b/>
          <w:bCs/>
          <w:sz w:val="28"/>
          <w:szCs w:val="28"/>
          <w:shd w:val="clear" w:color="auto" w:fill="FFFFFF"/>
        </w:rPr>
        <w:t>：</w:t>
      </w:r>
      <w:r>
        <w:rPr>
          <w:rFonts w:hint="eastAsia" w:ascii="仿宋_GB2312" w:hAnsi="仿宋_GB2312" w:eastAsia="仿宋_GB2312" w:cs="仿宋_GB2312"/>
          <w:sz w:val="28"/>
          <w:szCs w:val="28"/>
        </w:rPr>
        <w:t>项目</w:t>
      </w:r>
      <w:r>
        <w:rPr>
          <w:rFonts w:hint="eastAsia" w:ascii="仿宋_GB2312" w:hAnsi="仿宋_GB2312" w:eastAsia="仿宋_GB2312" w:cs="仿宋_GB2312"/>
          <w:kern w:val="0"/>
          <w:sz w:val="28"/>
          <w:szCs w:val="28"/>
          <w:lang w:bidi="ar"/>
        </w:rPr>
        <w:t>以全域土地综合整治为抓手，对土地资源进行优化配置，为制造业发展提供充足且高质量的空间载体，为引进高端制造、智能制造等新型产业、文旅项目创造有利条件。本实施方案计划在整治区域安排产业导入项目4个，项目总面积</w:t>
      </w:r>
      <w:r>
        <w:rPr>
          <w:rFonts w:hint="eastAsia" w:ascii="仿宋_GB2312" w:hAnsi="仿宋_GB2312" w:eastAsia="仿宋_GB2312" w:cs="仿宋_GB2312"/>
          <w:sz w:val="28"/>
          <w:szCs w:val="28"/>
        </w:rPr>
        <w:t>157.3349公顷。</w:t>
      </w:r>
    </w:p>
    <w:p w14:paraId="46DBD854">
      <w:pPr>
        <w:spacing w:line="360" w:lineRule="auto"/>
        <w:ind w:firstLine="562" w:firstLineChars="200"/>
        <w:outlineLvl w:val="1"/>
        <w:rPr>
          <w:rFonts w:hint="eastAsia" w:ascii="仿宋_GB2312" w:hAnsi="仿宋_GB2312" w:eastAsia="仿宋_GB2312" w:cs="仿宋_GB2312"/>
          <w:sz w:val="28"/>
          <w:szCs w:val="28"/>
          <w:shd w:val="clear" w:color="auto" w:fill="FFFFFF"/>
        </w:rPr>
      </w:pPr>
      <w:bookmarkStart w:id="7" w:name="_Toc9315"/>
      <w:r>
        <w:rPr>
          <w:rFonts w:hint="eastAsia" w:ascii="仿宋_GB2312" w:hAnsi="仿宋_GB2312" w:eastAsia="仿宋_GB2312" w:cs="仿宋_GB2312"/>
          <w:b/>
          <w:bCs/>
          <w:sz w:val="28"/>
          <w:szCs w:val="28"/>
          <w:shd w:val="clear" w:color="auto" w:fill="FFFFFF"/>
        </w:rPr>
        <w:t>6</w:t>
      </w:r>
      <w:r>
        <w:rPr>
          <w:rFonts w:hint="eastAsia" w:ascii="仿宋_GB2312" w:hAnsi="仿宋_GB2312" w:eastAsia="仿宋_GB2312" w:cs="仿宋_GB2312"/>
          <w:b/>
          <w:bCs/>
          <w:sz w:val="28"/>
          <w:szCs w:val="28"/>
          <w:shd w:val="clear" w:color="auto" w:fill="FFFFFF"/>
          <w:lang w:val="en-US" w:eastAsia="zh-CN"/>
        </w:rPr>
        <w:t>.</w:t>
      </w:r>
      <w:r>
        <w:rPr>
          <w:rFonts w:hint="eastAsia" w:ascii="仿宋_GB2312" w:hAnsi="仿宋_GB2312" w:eastAsia="仿宋_GB2312" w:cs="仿宋_GB2312"/>
          <w:b/>
          <w:bCs/>
          <w:sz w:val="28"/>
          <w:szCs w:val="28"/>
          <w:shd w:val="clear" w:color="auto" w:fill="FFFFFF"/>
        </w:rPr>
        <w:t>公共服务与基础设施建设项目</w:t>
      </w:r>
      <w:bookmarkEnd w:id="7"/>
      <w:r>
        <w:rPr>
          <w:rFonts w:hint="eastAsia" w:ascii="仿宋_GB2312" w:hAnsi="仿宋_GB2312" w:eastAsia="仿宋_GB2312" w:cs="仿宋_GB2312"/>
          <w:sz w:val="28"/>
          <w:szCs w:val="28"/>
          <w:shd w:val="clear" w:color="auto" w:fill="FFFFFF"/>
        </w:rPr>
        <w:t>：整治工作围绕提升居民生活质量、优化城乡空间布局和促进经济社会协调发展为目标，针对基础设施方面，着重强化了医疗、养老等方面的建设和改造升级，确保基础设施服务覆盖全面且高效运行，为民生发展提供有力支撑。本实施方案计划在整治区域安排公共服务与基础设施建设项目2 个，为广东省中山市人民医院医联体基础设施（三角片区）扩建工程、中山市三角镇养老服务提升项目，项目总面积3.9083公顷。</w:t>
      </w:r>
    </w:p>
    <w:p w14:paraId="11C78758">
      <w:pPr>
        <w:snapToGrid w:val="0"/>
        <w:spacing w:line="360" w:lineRule="auto"/>
        <w:ind w:firstLine="560" w:firstLineChars="200"/>
        <w:outlineLvl w:val="0"/>
        <w:rPr>
          <w:rFonts w:hint="eastAsia" w:ascii="黑体" w:hAnsi="黑体" w:eastAsia="黑体" w:cs="黑体"/>
          <w:b w:val="0"/>
          <w:bCs w:val="0"/>
          <w:sz w:val="28"/>
          <w:szCs w:val="28"/>
        </w:rPr>
      </w:pPr>
      <w:r>
        <w:rPr>
          <w:rFonts w:hint="eastAsia" w:ascii="黑体" w:hAnsi="黑体" w:eastAsia="黑体" w:cs="黑体"/>
          <w:b w:val="0"/>
          <w:bCs w:val="0"/>
          <w:sz w:val="28"/>
          <w:szCs w:val="28"/>
        </w:rPr>
        <w:t>五、预期效益</w:t>
      </w:r>
    </w:p>
    <w:p w14:paraId="6B3A292C">
      <w:pPr>
        <w:snapToGrid w:val="0"/>
        <w:spacing w:line="360" w:lineRule="auto"/>
        <w:ind w:firstLine="560" w:firstLineChars="200"/>
        <w:outlineLvl w:val="0"/>
        <w:rPr>
          <w:rFonts w:hint="eastAsia" w:ascii="仿宋_GB2312" w:hAnsi="仿宋_GB2312" w:eastAsia="仿宋_GB2312" w:cs="仿宋_GB2312"/>
          <w:b/>
          <w:bCs/>
          <w:sz w:val="28"/>
          <w:szCs w:val="28"/>
        </w:rPr>
      </w:pPr>
      <w:r>
        <w:rPr>
          <w:rFonts w:hint="eastAsia" w:ascii="仿宋_GB2312" w:hAnsi="仿宋_GB2312" w:eastAsia="仿宋_GB2312" w:cs="仿宋_GB2312"/>
          <w:kern w:val="0"/>
          <w:sz w:val="28"/>
          <w:szCs w:val="28"/>
          <w:lang w:bidi="ar"/>
        </w:rPr>
        <w:t>中山市三角镇全域土地综合整治项目的实施，旨在全面推动当地经济社会、产业、文化、生态等方面的协同发展，实现经济效益、社会效益和生态效益的统一，有力助推“百千万工程”</w:t>
      </w:r>
      <w:r>
        <w:rPr>
          <w:rFonts w:hint="eastAsia" w:ascii="仿宋_GB2312" w:hAnsi="仿宋_GB2312" w:eastAsia="仿宋_GB2312" w:cs="仿宋_GB2312"/>
          <w:kern w:val="0"/>
          <w:sz w:val="28"/>
          <w:szCs w:val="28"/>
          <w:lang w:eastAsia="zh-CN" w:bidi="ar"/>
        </w:rPr>
        <w:t>向纵深</w:t>
      </w:r>
      <w:r>
        <w:rPr>
          <w:rFonts w:hint="eastAsia" w:ascii="仿宋_GB2312" w:hAnsi="仿宋_GB2312" w:eastAsia="仿宋_GB2312" w:cs="仿宋_GB2312"/>
          <w:kern w:val="0"/>
          <w:sz w:val="28"/>
          <w:szCs w:val="28"/>
          <w:lang w:bidi="ar"/>
        </w:rPr>
        <w:t>发展和乡村振兴战略的深入实施。</w:t>
      </w:r>
    </w:p>
    <w:p w14:paraId="4C82992B">
      <w:pPr>
        <w:snapToGrid w:val="0"/>
        <w:spacing w:line="360" w:lineRule="auto"/>
        <w:ind w:firstLine="560" w:firstLineChars="200"/>
        <w:rPr>
          <w:rFonts w:hint="eastAsia" w:ascii="仿宋_GB2312" w:hAnsi="仿宋_GB2312" w:eastAsia="仿宋_GB2312" w:cs="仿宋_GB2312"/>
          <w:sz w:val="28"/>
          <w:szCs w:val="28"/>
        </w:rPr>
      </w:pPr>
    </w:p>
    <w:p w14:paraId="09703D08">
      <w:pPr>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附件：中山市三角镇全域土地综合整治实施方案子项目分布图</w:t>
      </w:r>
    </w:p>
    <w:p w14:paraId="1B2E0B65">
      <w:pPr>
        <w:wordWrap w:val="0"/>
        <w:adjustRightInd w:val="0"/>
        <w:snapToGrid w:val="0"/>
        <w:spacing w:line="360" w:lineRule="auto"/>
        <w:rPr>
          <w:rFonts w:hint="eastAsia" w:ascii="仿宋_GB2312" w:hAnsi="仿宋_GB2312" w:eastAsia="仿宋_GB2312" w:cs="仿宋_GB2312"/>
          <w:sz w:val="28"/>
          <w:szCs w:val="28"/>
        </w:rPr>
      </w:pPr>
    </w:p>
    <w:p w14:paraId="26907326">
      <w:pPr>
        <w:snapToGrid w:val="0"/>
        <w:spacing w:line="360" w:lineRule="auto"/>
        <w:jc w:val="center"/>
        <w:rPr>
          <w:rFonts w:hint="eastAsia" w:ascii="仿宋_GB2312" w:hAnsi="仿宋_GB2312" w:eastAsia="仿宋_GB2312" w:cs="仿宋_GB2312"/>
          <w:sz w:val="28"/>
          <w:szCs w:val="28"/>
        </w:rPr>
      </w:pPr>
    </w:p>
    <w:p w14:paraId="49F95149">
      <w:pPr>
        <w:snapToGrid w:val="0"/>
        <w:spacing w:line="360" w:lineRule="auto"/>
        <w:jc w:val="center"/>
        <w:rPr>
          <w:rFonts w:hint="eastAsia" w:ascii="仿宋_GB2312" w:hAnsi="仿宋_GB2312" w:eastAsia="仿宋_GB2312" w:cs="仿宋_GB2312"/>
          <w:sz w:val="28"/>
          <w:szCs w:val="28"/>
        </w:rPr>
      </w:pPr>
    </w:p>
    <w:p w14:paraId="6039BB6D">
      <w:pPr>
        <w:snapToGrid w:val="0"/>
        <w:spacing w:line="360" w:lineRule="auto"/>
        <w:jc w:val="center"/>
        <w:rPr>
          <w:rFonts w:hint="eastAsia" w:ascii="仿宋_GB2312" w:hAnsi="仿宋_GB2312" w:eastAsia="仿宋_GB2312" w:cs="仿宋_GB2312"/>
          <w:sz w:val="28"/>
          <w:szCs w:val="28"/>
        </w:rPr>
      </w:pPr>
    </w:p>
    <w:p w14:paraId="33ABE91D">
      <w:pPr>
        <w:snapToGrid w:val="0"/>
        <w:spacing w:line="360" w:lineRule="auto"/>
        <w:jc w:val="center"/>
        <w:rPr>
          <w:rFonts w:hint="eastAsia" w:ascii="仿宋_GB2312" w:hAnsi="仿宋_GB2312" w:eastAsia="仿宋_GB2312" w:cs="仿宋_GB2312"/>
          <w:sz w:val="28"/>
          <w:szCs w:val="28"/>
        </w:rPr>
      </w:pPr>
    </w:p>
    <w:p w14:paraId="359ABAA4">
      <w:pPr>
        <w:snapToGrid w:val="0"/>
        <w:spacing w:line="360" w:lineRule="auto"/>
        <w:jc w:val="center"/>
        <w:rPr>
          <w:rFonts w:hint="eastAsia" w:ascii="仿宋_GB2312" w:hAnsi="仿宋_GB2312" w:eastAsia="仿宋_GB2312" w:cs="仿宋_GB2312"/>
          <w:sz w:val="28"/>
          <w:szCs w:val="28"/>
        </w:rPr>
      </w:pPr>
    </w:p>
    <w:p w14:paraId="2DE65D1D">
      <w:pPr>
        <w:snapToGrid w:val="0"/>
        <w:spacing w:line="360" w:lineRule="auto"/>
        <w:jc w:val="center"/>
        <w:rPr>
          <w:rFonts w:hint="eastAsia" w:ascii="仿宋_GB2312" w:hAnsi="仿宋_GB2312" w:eastAsia="仿宋_GB2312" w:cs="仿宋_GB2312"/>
          <w:sz w:val="28"/>
          <w:szCs w:val="28"/>
        </w:rPr>
      </w:pPr>
    </w:p>
    <w:p w14:paraId="06718477">
      <w:pPr>
        <w:snapToGrid w:val="0"/>
        <w:spacing w:line="360" w:lineRule="auto"/>
        <w:jc w:val="center"/>
        <w:rPr>
          <w:rFonts w:hint="eastAsia" w:ascii="仿宋_GB2312" w:hAnsi="仿宋_GB2312" w:eastAsia="仿宋_GB2312" w:cs="仿宋_GB2312"/>
          <w:sz w:val="28"/>
          <w:szCs w:val="28"/>
        </w:rPr>
      </w:pPr>
    </w:p>
    <w:p w14:paraId="2754500C">
      <w:pPr>
        <w:snapToGrid w:val="0"/>
        <w:spacing w:line="360" w:lineRule="auto"/>
        <w:jc w:val="center"/>
        <w:rPr>
          <w:rFonts w:hint="eastAsia" w:ascii="仿宋_GB2312" w:hAnsi="仿宋_GB2312" w:eastAsia="仿宋_GB2312" w:cs="仿宋_GB2312"/>
          <w:sz w:val="28"/>
          <w:szCs w:val="28"/>
        </w:rPr>
      </w:pPr>
    </w:p>
    <w:p w14:paraId="5A0197FB">
      <w:pPr>
        <w:snapToGrid w:val="0"/>
        <w:spacing w:line="360" w:lineRule="auto"/>
        <w:jc w:val="center"/>
        <w:rPr>
          <w:rFonts w:hint="eastAsia" w:ascii="仿宋_GB2312" w:hAnsi="仿宋_GB2312" w:eastAsia="仿宋_GB2312" w:cs="仿宋_GB2312"/>
          <w:sz w:val="28"/>
          <w:szCs w:val="28"/>
        </w:rPr>
      </w:pPr>
    </w:p>
    <w:p w14:paraId="2C6E7CC5">
      <w:pPr>
        <w:snapToGrid w:val="0"/>
        <w:spacing w:line="360" w:lineRule="auto"/>
        <w:jc w:val="center"/>
        <w:rPr>
          <w:rFonts w:hint="eastAsia" w:ascii="仿宋_GB2312" w:hAnsi="仿宋_GB2312" w:eastAsia="仿宋_GB2312" w:cs="仿宋_GB2312"/>
          <w:sz w:val="28"/>
          <w:szCs w:val="28"/>
        </w:rPr>
      </w:pPr>
    </w:p>
    <w:p w14:paraId="3BA57809">
      <w:pPr>
        <w:snapToGrid w:val="0"/>
        <w:spacing w:line="360" w:lineRule="auto"/>
        <w:jc w:val="center"/>
        <w:rPr>
          <w:rFonts w:hint="eastAsia" w:ascii="仿宋_GB2312" w:hAnsi="仿宋_GB2312" w:eastAsia="仿宋_GB2312" w:cs="仿宋_GB2312"/>
          <w:sz w:val="28"/>
          <w:szCs w:val="28"/>
        </w:rPr>
      </w:pPr>
    </w:p>
    <w:p w14:paraId="1DC129E6">
      <w:pPr>
        <w:snapToGrid w:val="0"/>
        <w:spacing w:line="360" w:lineRule="auto"/>
        <w:jc w:val="center"/>
        <w:rPr>
          <w:rFonts w:hint="eastAsia" w:ascii="仿宋_GB2312" w:hAnsi="仿宋_GB2312" w:eastAsia="仿宋_GB2312" w:cs="仿宋_GB2312"/>
          <w:sz w:val="28"/>
          <w:szCs w:val="28"/>
        </w:rPr>
      </w:pPr>
    </w:p>
    <w:p w14:paraId="70CB5DAA">
      <w:pPr>
        <w:snapToGrid w:val="0"/>
        <w:spacing w:line="360" w:lineRule="auto"/>
        <w:jc w:val="center"/>
        <w:rPr>
          <w:rFonts w:hint="eastAsia" w:ascii="仿宋_GB2312" w:hAnsi="仿宋_GB2312" w:eastAsia="仿宋_GB2312" w:cs="仿宋_GB2312"/>
          <w:sz w:val="28"/>
          <w:szCs w:val="28"/>
        </w:rPr>
      </w:pPr>
    </w:p>
    <w:p w14:paraId="0055ED45">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14:paraId="4C2EB96F">
      <w:pPr>
        <w:snapToGrid w:val="0"/>
        <w:spacing w:line="360" w:lineRule="auto"/>
        <w:jc w:val="left"/>
        <w:rPr>
          <w:rFonts w:hint="eastAsia" w:ascii="仿宋_GB2312" w:hAnsi="仿宋_GB2312" w:eastAsia="仿宋_GB2312" w:cs="仿宋_GB2312"/>
          <w:sz w:val="28"/>
          <w:szCs w:val="28"/>
        </w:rPr>
        <w:sectPr>
          <w:footerReference r:id="rId3" w:type="default"/>
          <w:pgSz w:w="11906" w:h="16838"/>
          <w:pgMar w:top="1440" w:right="1800" w:bottom="1440" w:left="1800" w:header="851" w:footer="992" w:gutter="0"/>
          <w:cols w:space="0" w:num="1"/>
          <w:docGrid w:type="lines" w:linePitch="317" w:charSpace="0"/>
        </w:sectPr>
      </w:pPr>
    </w:p>
    <w:p w14:paraId="347BBC17">
      <w:pPr>
        <w:keepNext w:val="0"/>
        <w:keepLines w:val="0"/>
        <w:pageBreakBefore w:val="0"/>
        <w:widowControl w:val="0"/>
        <w:kinsoku/>
        <w:wordWrap/>
        <w:overflowPunct/>
        <w:topLinePunct w:val="0"/>
        <w:autoSpaceDE/>
        <w:autoSpaceDN/>
        <w:bidi w:val="0"/>
        <w:adjustRightInd/>
        <w:snapToGrid w:val="0"/>
        <w:spacing w:line="360" w:lineRule="auto"/>
        <w:ind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附件：中山市三角镇全域土地综合整治实施方案子项目分布图</w:t>
      </w:r>
    </w:p>
    <w:p w14:paraId="70F28CA3">
      <w:pPr>
        <w:snapToGrid w:val="0"/>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8270875" cy="5854700"/>
            <wp:effectExtent l="0" t="0" r="15875" b="12700"/>
            <wp:docPr id="1" name="图片 1" descr="05中山市三角镇全域土地综合整治子项目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中山市三角镇全域土地综合整治子项目分布图"/>
                    <pic:cNvPicPr>
                      <a:picLocks noChangeAspect="1"/>
                    </pic:cNvPicPr>
                  </pic:nvPicPr>
                  <pic:blipFill>
                    <a:blip r:embed="rId5"/>
                    <a:stretch>
                      <a:fillRect/>
                    </a:stretch>
                  </pic:blipFill>
                  <pic:spPr>
                    <a:xfrm>
                      <a:off x="0" y="0"/>
                      <a:ext cx="8270875" cy="5854700"/>
                    </a:xfrm>
                    <a:prstGeom prst="rect">
                      <a:avLst/>
                    </a:prstGeom>
                  </pic:spPr>
                </pic:pic>
              </a:graphicData>
            </a:graphic>
          </wp:inline>
        </w:drawing>
      </w:r>
    </w:p>
    <w:sectPr>
      <w:pgSz w:w="16838" w:h="11906" w:orient="landscape"/>
      <w:pgMar w:top="720" w:right="720" w:bottom="720" w:left="72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简标宋">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7470A">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BD50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4DBD50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21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0YjBhZDQxNTNhYTYwZjY4MzEzODM0NjcyMGMzZGYifQ=="/>
    <w:docVar w:name="KSO_WPS_MARK_KEY" w:val="8f3b4885-ef95-4fab-8672-2651ee7f74da"/>
  </w:docVars>
  <w:rsids>
    <w:rsidRoot w:val="006434A2"/>
    <w:rsid w:val="000047C4"/>
    <w:rsid w:val="0002283F"/>
    <w:rsid w:val="000B4D5A"/>
    <w:rsid w:val="001729F7"/>
    <w:rsid w:val="001C7A3D"/>
    <w:rsid w:val="00241156"/>
    <w:rsid w:val="0028043A"/>
    <w:rsid w:val="002B09DE"/>
    <w:rsid w:val="002C1C01"/>
    <w:rsid w:val="003572F7"/>
    <w:rsid w:val="00380461"/>
    <w:rsid w:val="00387F05"/>
    <w:rsid w:val="003C4FD4"/>
    <w:rsid w:val="0043059F"/>
    <w:rsid w:val="004971DA"/>
    <w:rsid w:val="005774A2"/>
    <w:rsid w:val="005A71A5"/>
    <w:rsid w:val="005D4FA5"/>
    <w:rsid w:val="005F1314"/>
    <w:rsid w:val="006434A2"/>
    <w:rsid w:val="00656B6B"/>
    <w:rsid w:val="006704E1"/>
    <w:rsid w:val="006A319F"/>
    <w:rsid w:val="00702746"/>
    <w:rsid w:val="007316F8"/>
    <w:rsid w:val="0074759F"/>
    <w:rsid w:val="00773F6D"/>
    <w:rsid w:val="007821DC"/>
    <w:rsid w:val="00796CB4"/>
    <w:rsid w:val="007C37E9"/>
    <w:rsid w:val="007F297A"/>
    <w:rsid w:val="00802E76"/>
    <w:rsid w:val="00843ACD"/>
    <w:rsid w:val="008665B5"/>
    <w:rsid w:val="008704EA"/>
    <w:rsid w:val="00872769"/>
    <w:rsid w:val="009372C5"/>
    <w:rsid w:val="00960025"/>
    <w:rsid w:val="00960D64"/>
    <w:rsid w:val="0097339E"/>
    <w:rsid w:val="009F2387"/>
    <w:rsid w:val="00A22484"/>
    <w:rsid w:val="00A57980"/>
    <w:rsid w:val="00A60DA8"/>
    <w:rsid w:val="00B15BEE"/>
    <w:rsid w:val="00B44B31"/>
    <w:rsid w:val="00B614E6"/>
    <w:rsid w:val="00BC3235"/>
    <w:rsid w:val="00BF7A66"/>
    <w:rsid w:val="00C36570"/>
    <w:rsid w:val="00C43FB5"/>
    <w:rsid w:val="00D13E3F"/>
    <w:rsid w:val="00D44F64"/>
    <w:rsid w:val="00DB4830"/>
    <w:rsid w:val="00DC1B86"/>
    <w:rsid w:val="00DD314F"/>
    <w:rsid w:val="00DF7520"/>
    <w:rsid w:val="00E21C0E"/>
    <w:rsid w:val="00E21FCA"/>
    <w:rsid w:val="00E84E66"/>
    <w:rsid w:val="00EE4A24"/>
    <w:rsid w:val="00F144B6"/>
    <w:rsid w:val="00F32AFB"/>
    <w:rsid w:val="00F3359A"/>
    <w:rsid w:val="00F3569E"/>
    <w:rsid w:val="00FA03F6"/>
    <w:rsid w:val="00FE0487"/>
    <w:rsid w:val="00FF4F25"/>
    <w:rsid w:val="012A6BDB"/>
    <w:rsid w:val="018A58CB"/>
    <w:rsid w:val="02247EF6"/>
    <w:rsid w:val="03FF56E1"/>
    <w:rsid w:val="044C50BA"/>
    <w:rsid w:val="04AE37A4"/>
    <w:rsid w:val="04E92909"/>
    <w:rsid w:val="04FF3EDA"/>
    <w:rsid w:val="05AF76AE"/>
    <w:rsid w:val="05C649F8"/>
    <w:rsid w:val="05CB70F9"/>
    <w:rsid w:val="05E57574"/>
    <w:rsid w:val="066761DB"/>
    <w:rsid w:val="06DE46EF"/>
    <w:rsid w:val="074107DA"/>
    <w:rsid w:val="07504B53"/>
    <w:rsid w:val="075C73C2"/>
    <w:rsid w:val="07713133"/>
    <w:rsid w:val="08387E2F"/>
    <w:rsid w:val="08F04266"/>
    <w:rsid w:val="094E04B7"/>
    <w:rsid w:val="0AA25A34"/>
    <w:rsid w:val="0AA469A1"/>
    <w:rsid w:val="0D896064"/>
    <w:rsid w:val="0E3270CE"/>
    <w:rsid w:val="0FA70920"/>
    <w:rsid w:val="0FA77648"/>
    <w:rsid w:val="0FD20B69"/>
    <w:rsid w:val="10A36062"/>
    <w:rsid w:val="121A67F7"/>
    <w:rsid w:val="12D544CC"/>
    <w:rsid w:val="12F759EB"/>
    <w:rsid w:val="135E2714"/>
    <w:rsid w:val="17295C67"/>
    <w:rsid w:val="17A032FB"/>
    <w:rsid w:val="17D6560B"/>
    <w:rsid w:val="182061EA"/>
    <w:rsid w:val="192F1861"/>
    <w:rsid w:val="1A7867B1"/>
    <w:rsid w:val="1C024584"/>
    <w:rsid w:val="1C856F63"/>
    <w:rsid w:val="1CA60491"/>
    <w:rsid w:val="1CF33ECD"/>
    <w:rsid w:val="1D4604A0"/>
    <w:rsid w:val="1E1941E4"/>
    <w:rsid w:val="1EF5217E"/>
    <w:rsid w:val="1FC20797"/>
    <w:rsid w:val="206155F1"/>
    <w:rsid w:val="20742B91"/>
    <w:rsid w:val="22347461"/>
    <w:rsid w:val="233F1C1A"/>
    <w:rsid w:val="23AD74CB"/>
    <w:rsid w:val="2500187D"/>
    <w:rsid w:val="267442D0"/>
    <w:rsid w:val="268E7F4D"/>
    <w:rsid w:val="278B7B24"/>
    <w:rsid w:val="283A4E4F"/>
    <w:rsid w:val="28AF339E"/>
    <w:rsid w:val="2A663F30"/>
    <w:rsid w:val="2AEA61BB"/>
    <w:rsid w:val="2BB74AE0"/>
    <w:rsid w:val="2D0F4D53"/>
    <w:rsid w:val="2D940755"/>
    <w:rsid w:val="2E105B20"/>
    <w:rsid w:val="2E701821"/>
    <w:rsid w:val="30653C85"/>
    <w:rsid w:val="33E22A86"/>
    <w:rsid w:val="352A7C75"/>
    <w:rsid w:val="369260AD"/>
    <w:rsid w:val="36B118B6"/>
    <w:rsid w:val="36B204FD"/>
    <w:rsid w:val="39E11A28"/>
    <w:rsid w:val="3A6A7A6C"/>
    <w:rsid w:val="3A6B16A6"/>
    <w:rsid w:val="3AD91D1C"/>
    <w:rsid w:val="3AE960B8"/>
    <w:rsid w:val="3BB645EB"/>
    <w:rsid w:val="3C3A6FCB"/>
    <w:rsid w:val="3CF665D6"/>
    <w:rsid w:val="3D3F6F8E"/>
    <w:rsid w:val="3E693A09"/>
    <w:rsid w:val="3E7B6048"/>
    <w:rsid w:val="3E877C37"/>
    <w:rsid w:val="3F5B3E28"/>
    <w:rsid w:val="3F9D1D4A"/>
    <w:rsid w:val="408B6047"/>
    <w:rsid w:val="40984A0B"/>
    <w:rsid w:val="40E13EB9"/>
    <w:rsid w:val="414D77A0"/>
    <w:rsid w:val="41657051"/>
    <w:rsid w:val="41923405"/>
    <w:rsid w:val="42F02AD9"/>
    <w:rsid w:val="43F3513F"/>
    <w:rsid w:val="441402FB"/>
    <w:rsid w:val="463F335D"/>
    <w:rsid w:val="46B1432D"/>
    <w:rsid w:val="46F30DEA"/>
    <w:rsid w:val="471274C2"/>
    <w:rsid w:val="47356D0C"/>
    <w:rsid w:val="47A20030"/>
    <w:rsid w:val="47D76015"/>
    <w:rsid w:val="49DA3B9B"/>
    <w:rsid w:val="4AB92C27"/>
    <w:rsid w:val="4B1D4687"/>
    <w:rsid w:val="4D0F1DAD"/>
    <w:rsid w:val="4EF70D4B"/>
    <w:rsid w:val="4FA41B22"/>
    <w:rsid w:val="4FD277EE"/>
    <w:rsid w:val="5060129E"/>
    <w:rsid w:val="50AF18DD"/>
    <w:rsid w:val="51363DAD"/>
    <w:rsid w:val="51774303"/>
    <w:rsid w:val="51A055A9"/>
    <w:rsid w:val="51F90634"/>
    <w:rsid w:val="52ED2B91"/>
    <w:rsid w:val="54A376AD"/>
    <w:rsid w:val="559B4B26"/>
    <w:rsid w:val="56CE6835"/>
    <w:rsid w:val="56E840C4"/>
    <w:rsid w:val="58801DB1"/>
    <w:rsid w:val="5AD00DCE"/>
    <w:rsid w:val="5AE27AA9"/>
    <w:rsid w:val="5B114DA1"/>
    <w:rsid w:val="5B5309E2"/>
    <w:rsid w:val="5C5B1FE4"/>
    <w:rsid w:val="5C7D1B59"/>
    <w:rsid w:val="5C900FC3"/>
    <w:rsid w:val="5D5162C3"/>
    <w:rsid w:val="5DF03535"/>
    <w:rsid w:val="5F954394"/>
    <w:rsid w:val="61AE52C3"/>
    <w:rsid w:val="62007404"/>
    <w:rsid w:val="62650996"/>
    <w:rsid w:val="62667BD2"/>
    <w:rsid w:val="63CD67F3"/>
    <w:rsid w:val="65EC0B8C"/>
    <w:rsid w:val="6686630A"/>
    <w:rsid w:val="67401089"/>
    <w:rsid w:val="688A2F04"/>
    <w:rsid w:val="690802CD"/>
    <w:rsid w:val="690D7691"/>
    <w:rsid w:val="69980FBA"/>
    <w:rsid w:val="69B1626F"/>
    <w:rsid w:val="69C2222A"/>
    <w:rsid w:val="6C8C6B1F"/>
    <w:rsid w:val="6CA90A0D"/>
    <w:rsid w:val="6D4D2752"/>
    <w:rsid w:val="6D8F5EEC"/>
    <w:rsid w:val="6EBC34AA"/>
    <w:rsid w:val="6EC67C3A"/>
    <w:rsid w:val="6F4957DB"/>
    <w:rsid w:val="704E5A4D"/>
    <w:rsid w:val="70D429B5"/>
    <w:rsid w:val="70F57389"/>
    <w:rsid w:val="718C6759"/>
    <w:rsid w:val="71A7269B"/>
    <w:rsid w:val="71F907B3"/>
    <w:rsid w:val="72565C05"/>
    <w:rsid w:val="72961900"/>
    <w:rsid w:val="73814F04"/>
    <w:rsid w:val="739C3AEB"/>
    <w:rsid w:val="759251C5"/>
    <w:rsid w:val="79726F74"/>
    <w:rsid w:val="7A146AD1"/>
    <w:rsid w:val="7B123A84"/>
    <w:rsid w:val="7BD61B65"/>
    <w:rsid w:val="7C02295A"/>
    <w:rsid w:val="7CDC31AB"/>
    <w:rsid w:val="7CE00EED"/>
    <w:rsid w:val="7D627B54"/>
    <w:rsid w:val="7D9615AC"/>
    <w:rsid w:val="7D9A72EE"/>
    <w:rsid w:val="7E2E4195"/>
    <w:rsid w:val="7E953F59"/>
    <w:rsid w:val="7EEF18BB"/>
    <w:rsid w:val="7F201CF3"/>
    <w:rsid w:val="7FF56336"/>
    <w:rsid w:val="F11E4E82"/>
    <w:rsid w:val="FFFF30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99"/>
    <w:pPr>
      <w:jc w:val="left"/>
    </w:pPr>
  </w:style>
  <w:style w:type="paragraph" w:styleId="3">
    <w:name w:val="Balloon Text"/>
    <w:basedOn w:val="1"/>
    <w:link w:val="17"/>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Autospacing="1" w:afterAutospacing="1"/>
      <w:jc w:val="left"/>
    </w:pPr>
    <w:rPr>
      <w:rFonts w:cs="Times New Roman"/>
      <w:kern w:val="0"/>
      <w:sz w:val="24"/>
    </w:rPr>
  </w:style>
  <w:style w:type="paragraph" w:styleId="7">
    <w:name w:val="annotation subject"/>
    <w:basedOn w:val="2"/>
    <w:next w:val="2"/>
    <w:link w:val="16"/>
    <w:semiHidden/>
    <w:unhideWhenUsed/>
    <w:qFormat/>
    <w:uiPriority w:val="99"/>
    <w:rPr>
      <w:b/>
      <w:bCs/>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annotation reference"/>
    <w:basedOn w:val="10"/>
    <w:semiHidden/>
    <w:unhideWhenUsed/>
    <w:qFormat/>
    <w:uiPriority w:val="99"/>
    <w:rPr>
      <w:sz w:val="21"/>
      <w:szCs w:val="21"/>
    </w:rPr>
  </w:style>
  <w:style w:type="character" w:customStyle="1" w:styleId="13">
    <w:name w:val="页眉 字符"/>
    <w:basedOn w:val="10"/>
    <w:link w:val="5"/>
    <w:qFormat/>
    <w:uiPriority w:val="99"/>
    <w:rPr>
      <w:sz w:val="18"/>
      <w:szCs w:val="18"/>
    </w:rPr>
  </w:style>
  <w:style w:type="character" w:customStyle="1" w:styleId="14">
    <w:name w:val="页脚 字符"/>
    <w:basedOn w:val="10"/>
    <w:link w:val="4"/>
    <w:qFormat/>
    <w:uiPriority w:val="99"/>
    <w:rPr>
      <w:sz w:val="18"/>
      <w:szCs w:val="18"/>
    </w:rPr>
  </w:style>
  <w:style w:type="character" w:customStyle="1" w:styleId="15">
    <w:name w:val="批注文字 字符"/>
    <w:basedOn w:val="10"/>
    <w:link w:val="2"/>
    <w:semiHidden/>
    <w:qFormat/>
    <w:uiPriority w:val="99"/>
  </w:style>
  <w:style w:type="character" w:customStyle="1" w:styleId="16">
    <w:name w:val="批注主题 字符"/>
    <w:basedOn w:val="15"/>
    <w:link w:val="7"/>
    <w:semiHidden/>
    <w:qFormat/>
    <w:uiPriority w:val="99"/>
    <w:rPr>
      <w:b/>
      <w:bCs/>
    </w:rPr>
  </w:style>
  <w:style w:type="character" w:customStyle="1" w:styleId="17">
    <w:name w:val="批注框文本 字符"/>
    <w:basedOn w:val="10"/>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457</Words>
  <Characters>2609</Characters>
  <Lines>21</Lines>
  <Paragraphs>6</Paragraphs>
  <TotalTime>0</TotalTime>
  <ScaleCrop>false</ScaleCrop>
  <LinksUpToDate>false</LinksUpToDate>
  <CharactersWithSpaces>3060</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2024-06-02T01:53:00Z</dcterms:created>
  <dc:creator>Administrator</dc:creator>
  <cp:lastModifiedBy>梁慧珠</cp:lastModifiedBy>
  <dcterms:modified xsi:type="dcterms:W3CDTF">2024-12-20T08:07:20Z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FCC07394BC0E4B89BFE99BA7FEAD6C02_13</vt:lpwstr>
  </property>
</Properties>
</file>