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阜沙镇中山柯鲁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val="en-US" w:eastAsia="zh-CN"/>
        </w:rPr>
        <w:t>冠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光电子器件制造有限公司“工改工”宗地项目“三旧”改造方案</w:t>
      </w:r>
    </w:p>
    <w:p>
      <w:pPr>
        <w:pStyle w:val="3"/>
        <w:rPr>
          <w:color w:val="auto"/>
        </w:rPr>
      </w:pP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根据中山市城市更新（“三旧”改造）专项规划和经批复的规划条件论证，阜沙镇人民政府拟对位于中山市阜沙镇埠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港西路47号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中山柯鲁冠光电子器件制造有限公司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旧厂房用地进行改造，由土地权利人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中山柯鲁冠光电子器件制造有限公司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自主改造，采取全面改造方式。改造方案如下：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一、改造地块基本情况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（一）总体情况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改造地块位中山市阜沙镇埠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港西路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，北至中山市金久源塑胶材料有限公司，南至益鑫鞋材有限公司，东至农田，西至阜港西路，用地面积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6667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6666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0.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亩）。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（二）标图入库情况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正在办理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“三旧”标图入库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（三）权属情况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改造项目范围内全部属国有建设用地，土地用途为工业，改造涉及的土地已经确权、登记，不动产权证号为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粤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（20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中山市不动产权第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0613606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号，为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土地权利人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柯兰普•安德鲁海亚特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(CRAMP ANDREW HYATT)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自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2006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年开始使用，并于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中山柯鲁冠光电子器件制造有限公司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通过转让取得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（四）土地利用现状情况</w:t>
      </w:r>
    </w:p>
    <w:p>
      <w:pPr>
        <w:spacing w:line="574" w:lineRule="exact"/>
        <w:ind w:firstLine="616" w:firstLineChars="200"/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改造地块最新土地利用现状为建设用地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6665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6664.90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</w:rPr>
        <w:t>0.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</w:t>
      </w:r>
      <w:r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，农用地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1.80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改造地块“二调”土地利用现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状为建设用</w:t>
      </w:r>
      <w:bookmarkEnd w:id="0"/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6667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6666.7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0.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。改造范围不涉及整体利用的边角地、夹心地、插花地（下称“三地”）、其他用地、征地留用地、与原“三旧”用地置换的“三旧”用地或其他存量建设用地、使用原“三旧”用地复垦产生的规模或指标的非建设用地。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内现有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栋建筑物，为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原产权人柯兰普•安德鲁海亚特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(CRAMP ANDREW HYATT)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自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月开始使用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，未办理规划报建等手续，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原有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建筑面积约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平方米（不含不计容面积），容积率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0.6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作工业厂房所用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该地块目前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已拆除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建筑面积约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平方米，改造前年产值为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折合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万元/亩），年税收为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折合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万元/亩）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未被认定为闲置。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不涉及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历史文化资源要素和抵押等情况,不属于土地环境潜在监管地块范围。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（五）规划情况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改造地块符合国土空间总体规划、经批复的规划条件论证，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已纳入《中山市城市更新（“三旧”改造）专项规划（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2020-2035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）》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。其中，在国土空间总体规划中，属城乡建设用地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6667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6666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0.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亩）；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在《中山市阜沙镇工业用地规划条件论证报告》（中府函〔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325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号）中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，一类工业用地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0.6600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6599.92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9.90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亩），规划容积率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2.0-3.5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，建筑密度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35%-60%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，绿地率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10%-15%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，生产性建筑高度≤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米，配套设施建筑高度≤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米；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城市道路用地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0.0067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66.78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0.10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亩）。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具体以实际审批为准。</w:t>
      </w:r>
    </w:p>
    <w:p>
      <w:pPr>
        <w:spacing w:line="57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改造地块位于“三区三线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城镇开发</w:t>
      </w:r>
      <w:r>
        <w:rPr>
          <w:rFonts w:hint="eastAsia" w:ascii="仿宋_GB2312" w:hAnsi="仿宋_GB2312" w:eastAsia="仿宋_GB2312" w:cs="仿宋_GB2312"/>
          <w:sz w:val="32"/>
          <w:szCs w:val="32"/>
        </w:rPr>
        <w:t>边界内，符合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在编的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工业用地保护线管控要求，不涉及永久基本农田和生态保护红线、森林资源等管控要求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二、改造意愿情况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中山柯鲁冠光电子器件制造有限公司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个权利主体，阜沙镇人民政府已按照法律法规，就改造范围、土地现状、改造主体及拟改造情况等事项征询涉及权利主体改造意愿，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将涉及土地、房屋纳入改造范围。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三、改造主体及拟改造情况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根据有关规划要求，改造项目严格按照国土空间总体规划、经批复的规划条件论证管控要求实施建设。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在规划中属非建设用地部分，按照非建设用地进行管控；在详细规划中属公益性用地部分，日后属地政府需按规划开发建设时，应无偿将用地交给属地政府使用。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0000FF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改造项目属“工改工”宗地项目，拟采取权利人自主改造方式，由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中山柯鲁冠光电子器件制造有限公司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作为改造主体，实施全面改造。改造后将用于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电子电器、无刷电机、家用电器、五金电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子、电子商务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等产业，在符合详细规划的基础上，容积率不小于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，新建建筑面积不小于13333.42平方米（不含不计容建筑面积），不保留原有建筑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项目申请分割销售，自持比例不小于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spacing w:line="574" w:lineRule="atLeast"/>
        <w:ind w:firstLine="616" w:firstLineChars="200"/>
        <w:jc w:val="left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项目相关情况符合国家《产业结构调整指导目录》《中山市“三线一单”生态环境分区管控方案》及《中山市涉挥发性有机物项目环保管理规定》。改造后年产值将达到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4000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万元（折合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万/亩），年税收将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达到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150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万/亩）。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投资强度、年产值和年税收标准三者满足其二，视为满足经济指标标准。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资金筹措</w:t>
      </w:r>
    </w:p>
    <w:p>
      <w:pPr>
        <w:spacing w:line="574" w:lineRule="exact"/>
        <w:ind w:firstLine="592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主体拟投入资金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万元，其中自有资金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3000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,银行借贷2000万元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开发时序</w:t>
      </w:r>
    </w:p>
    <w:p>
      <w:pPr>
        <w:spacing w:line="574" w:lineRule="exact"/>
        <w:ind w:firstLine="592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取得改造方案批复之日起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365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日开工，自开工之日起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730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日内竣工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新建建筑面积不小于13333.42平方米（不含不计容建筑面积），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主要实施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工业厂房和配套设施。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六、实施监管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详见项目实施监管协议。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1YzkwOWI0Mzg1MDk3Nzc4NzFiN2ZiNTMxNDI5N2MifQ=="/>
  </w:docVars>
  <w:rsids>
    <w:rsidRoot w:val="00000000"/>
    <w:rsid w:val="01442360"/>
    <w:rsid w:val="04C924C0"/>
    <w:rsid w:val="10014143"/>
    <w:rsid w:val="10D51D01"/>
    <w:rsid w:val="189121E1"/>
    <w:rsid w:val="2291050E"/>
    <w:rsid w:val="2ADB463C"/>
    <w:rsid w:val="2E68303C"/>
    <w:rsid w:val="31BA3635"/>
    <w:rsid w:val="3B4918D6"/>
    <w:rsid w:val="3E5148C8"/>
    <w:rsid w:val="442E30DC"/>
    <w:rsid w:val="48B70FF3"/>
    <w:rsid w:val="4F6F6F83"/>
    <w:rsid w:val="5E9D1BD9"/>
    <w:rsid w:val="61375E6A"/>
    <w:rsid w:val="629D3987"/>
    <w:rsid w:val="700442A3"/>
    <w:rsid w:val="73106D01"/>
    <w:rsid w:val="768F7E10"/>
    <w:rsid w:val="7A586E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4">
    <w:name w:val="toa heading"/>
    <w:basedOn w:val="1"/>
    <w:next w:val="1"/>
    <w:qFormat/>
    <w:uiPriority w:val="0"/>
    <w:pPr>
      <w:widowControl/>
      <w:spacing w:before="120" w:after="100" w:afterAutospacing="1"/>
    </w:pPr>
    <w:rPr>
      <w:rFonts w:ascii="Arial" w:hAnsi="Arial" w:cs="Arial"/>
      <w:sz w:val="24"/>
      <w:lang w:bidi="gu-IN"/>
    </w:r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1648</Words>
  <Characters>1848</Characters>
  <Lines>14</Lines>
  <Paragraphs>4</Paragraphs>
  <TotalTime>0</TotalTime>
  <ScaleCrop>false</ScaleCrop>
  <LinksUpToDate>false</LinksUpToDate>
  <CharactersWithSpaces>1849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2022-10-22T00:30:00Z</dcterms:created>
  <dc:creator>Administrator</dc:creator>
  <cp:lastModifiedBy>Z</cp:lastModifiedBy>
  <cp:lastPrinted>2022-12-27T23:07:00Z</cp:lastPrinted>
  <dcterms:modified xsi:type="dcterms:W3CDTF">2024-11-28T03:20:00Z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BA48BF3C973D4F95A5A2A313B08F8DB1_13</vt:lpwstr>
  </property>
</Properties>
</file>