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中府集用（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2009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250123号</w:t>
      </w:r>
      <w:r>
        <w:rPr>
          <w:rFonts w:hint="eastAsia" w:ascii="仿宋" w:hAnsi="仿宋" w:eastAsia="仿宋" w:cs="仿宋"/>
          <w:sz w:val="30"/>
          <w:szCs w:val="30"/>
        </w:rPr>
        <w:t>用地规划条件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3600" cy="1609725"/>
            <wp:effectExtent l="0" t="0" r="0" b="9525"/>
            <wp:docPr id="1" name="图片 1" descr="区位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区位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梁伟文用地图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镇冲口村</w:t>
      </w:r>
      <w:r>
        <w:rPr>
          <w:rFonts w:hint="eastAsia" w:ascii="仿宋" w:hAnsi="仿宋" w:eastAsia="仿宋" w:cs="仿宋"/>
          <w:sz w:val="30"/>
          <w:szCs w:val="30"/>
        </w:rPr>
        <w:t>，不动产权证号为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中府集用（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2009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250123号</w:t>
      </w:r>
      <w:r>
        <w:rPr>
          <w:rFonts w:hint="eastAsia" w:ascii="仿宋" w:hAnsi="仿宋" w:eastAsia="仿宋" w:cs="仿宋"/>
          <w:sz w:val="30"/>
          <w:szCs w:val="30"/>
        </w:rPr>
        <w:t>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梁伟文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镇冲口村</w:t>
      </w:r>
      <w:r>
        <w:rPr>
          <w:rFonts w:hint="eastAsia" w:ascii="仿宋" w:hAnsi="仿宋" w:eastAsia="仿宋" w:cs="仿宋"/>
          <w:sz w:val="30"/>
          <w:szCs w:val="30"/>
        </w:rPr>
        <w:t>村庄规划》，为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</w:p>
    <w:p>
      <w:pPr>
        <w:ind w:firstLine="2700" w:firstLineChars="9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0AA0EEA"/>
    <w:rsid w:val="11AA2163"/>
    <w:rsid w:val="180533FE"/>
    <w:rsid w:val="1ABC2BC8"/>
    <w:rsid w:val="1C923177"/>
    <w:rsid w:val="2C6517AA"/>
    <w:rsid w:val="41861C47"/>
    <w:rsid w:val="4FEF1C6D"/>
    <w:rsid w:val="53C600F3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2024-11-19T02:46:08Z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