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中山市春晖园林机械有限公司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751580" cy="2731135"/>
            <wp:effectExtent l="0" t="0" r="12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158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中山市春晖园林机械有限公司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向我局申请变更名下用地的规划条件。我局已受理其申请，按照城乡规划相关法律、法规的有关规定，现对申请变更规划条件事项进行公示，公示如下：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粤（202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）中山市不动产权第0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255325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中山市春晖园林机械有限公司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，坐落：中山市三角镇进源路121号之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，土地使用权取得方式：出让，用途：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20006.71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中山市三角镇工业用地规划条件论证报告》中确定的规划用地性质为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用地，地块编码：C-6-06-12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、建筑密度：35%-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%、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下沉绿地率：≥40%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透水铺装率：≥50%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配套设施：附设式10KV开关站，建筑面积≥40㎡；垃圾收集站，建筑面积50-90㎡，用地面积100-150㎡。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C-6-06-12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；规划独立式基站空间站址。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；规划独立式基站空间站址。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44611D6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AB90692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92C38DC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5ED0C9A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1CB0BCA"/>
    <w:rsid w:val="62353944"/>
    <w:rsid w:val="63211A36"/>
    <w:rsid w:val="632C6FC4"/>
    <w:rsid w:val="63D708EB"/>
    <w:rsid w:val="652C4315"/>
    <w:rsid w:val="665A6D48"/>
    <w:rsid w:val="67B37E43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2024-11-08T06:26:01Z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C070D5716FAB406B81A7C70256FEFF0E</vt:lpwstr>
  </property>
</Properties>
</file>