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6C33">
      <w:pPr>
        <w:pStyle w:val="11"/>
        <w:keepNext w:val="0"/>
        <w:keepLines w:val="0"/>
        <w:pageBreakBefore w:val="0"/>
        <w:widowControl w:val="0"/>
        <w:kinsoku/>
        <w:wordWrap/>
        <w:overflowPunct/>
        <w:topLinePunct w:val="0"/>
        <w:autoSpaceDE/>
        <w:autoSpaceDN/>
        <w:bidi w:val="0"/>
        <w:adjustRightInd/>
        <w:snapToGrid/>
        <w:spacing w:beforeLines="0" w:afterLines="0" w:line="575" w:lineRule="exact"/>
        <w:ind w:left="0" w:right="0" w:rightChars="0" w:firstLine="0" w:firstLineChars="0"/>
        <w:jc w:val="center"/>
        <w:textAlignment w:val="auto"/>
        <w:rPr>
          <w:rFonts w:hint="eastAsia" w:ascii="创艺简标宋" w:hAnsi="创艺简标宋" w:eastAsia="创艺简标宋" w:cs="创艺简标宋"/>
          <w:color w:val="000000"/>
          <w:spacing w:val="-6"/>
          <w:kern w:val="0"/>
          <w:sz w:val="44"/>
          <w:szCs w:val="44"/>
        </w:rPr>
      </w:pPr>
      <w:bookmarkStart w:id="0" w:name="_GoBack"/>
      <w:r>
        <w:rPr>
          <w:rFonts w:hint="eastAsia" w:ascii="创艺简标宋" w:hAnsi="创艺简标宋" w:eastAsia="创艺简标宋" w:cs="创艺简标宋"/>
          <w:color w:val="000000"/>
          <w:spacing w:val="-6"/>
          <w:kern w:val="0"/>
          <w:sz w:val="44"/>
          <w:szCs w:val="44"/>
          <w:lang w:val="en-US" w:eastAsia="zh-CN"/>
        </w:rPr>
        <w:t>中山市</w:t>
      </w:r>
      <w:r>
        <w:rPr>
          <w:rFonts w:hint="eastAsia" w:ascii="创艺简标宋" w:hAnsi="创艺简标宋" w:eastAsia="创艺简标宋" w:cs="创艺简标宋"/>
          <w:color w:val="000000"/>
          <w:spacing w:val="-6"/>
          <w:kern w:val="0"/>
          <w:sz w:val="44"/>
          <w:szCs w:val="44"/>
        </w:rPr>
        <w:t>板芙镇</w:t>
      </w:r>
      <w:r>
        <w:rPr>
          <w:rFonts w:hint="eastAsia" w:ascii="创艺简标宋" w:hAnsi="创艺简标宋" w:eastAsia="创艺简标宋" w:cs="创艺简标宋"/>
          <w:i w:val="0"/>
          <w:iCs w:val="0"/>
          <w:caps w:val="0"/>
          <w:color w:val="000000"/>
          <w:spacing w:val="-6"/>
          <w:kern w:val="0"/>
          <w:sz w:val="44"/>
          <w:szCs w:val="44"/>
          <w:shd w:val="clear" w:fill="auto"/>
        </w:rPr>
        <w:t>梁锦华</w:t>
      </w:r>
      <w:r>
        <w:rPr>
          <w:rFonts w:hint="eastAsia" w:ascii="创艺简标宋" w:hAnsi="创艺简标宋" w:eastAsia="创艺简标宋" w:cs="创艺简标宋"/>
          <w:color w:val="000000"/>
          <w:spacing w:val="-6"/>
          <w:kern w:val="0"/>
          <w:sz w:val="44"/>
          <w:szCs w:val="44"/>
        </w:rPr>
        <w:t>“工改工</w:t>
      </w:r>
      <w:r>
        <w:rPr>
          <w:rFonts w:hint="eastAsia" w:ascii="创艺简标宋" w:hAnsi="创艺简标宋" w:eastAsia="创艺简标宋" w:cs="创艺简标宋"/>
          <w:color w:val="000000"/>
          <w:spacing w:val="-6"/>
          <w:kern w:val="0"/>
          <w:sz w:val="44"/>
          <w:szCs w:val="44"/>
          <w:lang w:eastAsia="zh-CN"/>
        </w:rPr>
        <w:t>”</w:t>
      </w:r>
      <w:r>
        <w:rPr>
          <w:rFonts w:hint="eastAsia" w:ascii="创艺简标宋" w:hAnsi="创艺简标宋" w:eastAsia="创艺简标宋" w:cs="创艺简标宋"/>
          <w:color w:val="000000"/>
          <w:spacing w:val="-6"/>
          <w:kern w:val="0"/>
          <w:sz w:val="44"/>
          <w:szCs w:val="44"/>
        </w:rPr>
        <w:t>宗地项目</w:t>
      </w:r>
    </w:p>
    <w:p w14:paraId="4447853C">
      <w:pPr>
        <w:pStyle w:val="11"/>
        <w:keepNext w:val="0"/>
        <w:keepLines w:val="0"/>
        <w:pageBreakBefore w:val="0"/>
        <w:widowControl w:val="0"/>
        <w:kinsoku/>
        <w:wordWrap/>
        <w:overflowPunct/>
        <w:topLinePunct w:val="0"/>
        <w:autoSpaceDE/>
        <w:autoSpaceDN/>
        <w:bidi w:val="0"/>
        <w:adjustRightInd/>
        <w:snapToGrid/>
        <w:spacing w:beforeLines="0" w:afterLines="0" w:line="575" w:lineRule="exact"/>
        <w:ind w:left="0" w:right="0" w:rightChars="0" w:firstLine="0" w:firstLineChars="0"/>
        <w:jc w:val="center"/>
        <w:textAlignment w:val="auto"/>
        <w:rPr>
          <w:rFonts w:hint="eastAsia" w:ascii="创艺简标宋" w:hAnsi="创艺简标宋" w:eastAsia="创艺简标宋" w:cs="创艺简标宋"/>
          <w:color w:val="000000"/>
          <w:spacing w:val="-6"/>
          <w:kern w:val="0"/>
          <w:sz w:val="44"/>
          <w:szCs w:val="44"/>
          <w:lang w:eastAsia="zh-CN"/>
        </w:rPr>
      </w:pPr>
      <w:r>
        <w:rPr>
          <w:rFonts w:hint="eastAsia" w:ascii="创艺简标宋" w:hAnsi="创艺简标宋" w:eastAsia="创艺简标宋" w:cs="创艺简标宋"/>
          <w:color w:val="000000"/>
          <w:spacing w:val="-6"/>
          <w:kern w:val="0"/>
          <w:sz w:val="44"/>
          <w:szCs w:val="44"/>
          <w:lang w:eastAsia="zh-CN"/>
        </w:rPr>
        <w:t>“</w:t>
      </w:r>
      <w:r>
        <w:rPr>
          <w:rFonts w:hint="eastAsia" w:ascii="创艺简标宋" w:hAnsi="创艺简标宋" w:eastAsia="创艺简标宋" w:cs="创艺简标宋"/>
          <w:color w:val="000000"/>
          <w:spacing w:val="-6"/>
          <w:kern w:val="0"/>
          <w:sz w:val="44"/>
          <w:szCs w:val="44"/>
          <w:lang w:val="en-US" w:eastAsia="zh-CN"/>
        </w:rPr>
        <w:t>三旧</w:t>
      </w:r>
      <w:r>
        <w:rPr>
          <w:rFonts w:hint="eastAsia" w:ascii="创艺简标宋" w:hAnsi="创艺简标宋" w:eastAsia="创艺简标宋" w:cs="创艺简标宋"/>
          <w:color w:val="000000"/>
          <w:spacing w:val="-6"/>
          <w:kern w:val="0"/>
          <w:sz w:val="44"/>
          <w:szCs w:val="44"/>
          <w:lang w:eastAsia="zh-CN"/>
        </w:rPr>
        <w:t>”</w:t>
      </w:r>
      <w:r>
        <w:rPr>
          <w:rFonts w:hint="eastAsia" w:ascii="创艺简标宋" w:hAnsi="创艺简标宋" w:eastAsia="创艺简标宋" w:cs="创艺简标宋"/>
          <w:color w:val="000000"/>
          <w:spacing w:val="-6"/>
          <w:kern w:val="0"/>
          <w:sz w:val="44"/>
          <w:szCs w:val="44"/>
          <w:lang w:val="en-US" w:eastAsia="zh-CN"/>
        </w:rPr>
        <w:t>改造</w:t>
      </w:r>
      <w:r>
        <w:rPr>
          <w:rFonts w:hint="eastAsia" w:ascii="创艺简标宋" w:hAnsi="创艺简标宋" w:eastAsia="创艺简标宋" w:cs="创艺简标宋"/>
          <w:color w:val="000000"/>
          <w:spacing w:val="-6"/>
          <w:kern w:val="0"/>
          <w:sz w:val="44"/>
          <w:szCs w:val="44"/>
        </w:rPr>
        <w:t>方案</w:t>
      </w:r>
    </w:p>
    <w:bookmarkEnd w:id="0"/>
    <w:p w14:paraId="1399F8D3">
      <w:pPr>
        <w:pStyle w:val="11"/>
        <w:keepNext w:val="0"/>
        <w:keepLines w:val="0"/>
        <w:pageBreakBefore w:val="0"/>
        <w:widowControl w:val="0"/>
        <w:kinsoku/>
        <w:wordWrap/>
        <w:overflowPunct/>
        <w:topLinePunct w:val="0"/>
        <w:autoSpaceDE/>
        <w:autoSpaceDN/>
        <w:bidi w:val="0"/>
        <w:adjustRightInd/>
        <w:snapToGrid/>
        <w:spacing w:beforeLines="0" w:afterLines="0" w:line="575" w:lineRule="exact"/>
        <w:ind w:left="0" w:right="0" w:rightChars="0" w:firstLine="856" w:firstLineChars="200"/>
        <w:jc w:val="both"/>
        <w:textAlignment w:val="auto"/>
        <w:rPr>
          <w:rFonts w:hint="eastAsia" w:eastAsia="方正小标宋简体"/>
          <w:color w:val="000000"/>
          <w:spacing w:val="-6"/>
          <w:kern w:val="0"/>
          <w:sz w:val="44"/>
          <w:szCs w:val="44"/>
        </w:rPr>
      </w:pPr>
    </w:p>
    <w:p w14:paraId="25B7D355">
      <w:pPr>
        <w:keepNext w:val="0"/>
        <w:keepLines w:val="0"/>
        <w:pageBreakBefore w:val="0"/>
        <w:widowControl/>
        <w:numPr>
          <w:ilvl w:val="0"/>
          <w:numId w:val="0"/>
        </w:numPr>
        <w:kinsoku/>
        <w:wordWrap w:val="0"/>
        <w:overflowPunct/>
        <w:topLinePunct w:val="0"/>
        <w:autoSpaceDE/>
        <w:autoSpaceDN/>
        <w:bidi w:val="0"/>
        <w:adjustRightInd/>
        <w:snapToGrid/>
        <w:spacing w:beforeLines="0" w:afterLines="0" w:line="575" w:lineRule="exact"/>
        <w:ind w:firstLine="616" w:firstLineChars="200"/>
        <w:textAlignment w:val="auto"/>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rPr>
        <w:t>根据中山市城市更新（“三旧”</w:t>
      </w:r>
      <w:r>
        <w:rPr>
          <w:rFonts w:hint="eastAsia" w:ascii="仿宋_GB2312" w:hAnsi="仿宋_GB2312" w:eastAsia="仿宋_GB2312" w:cs="仿宋_GB2312"/>
          <w:color w:val="auto"/>
          <w:spacing w:val="-6"/>
          <w:kern w:val="2"/>
          <w:sz w:val="32"/>
          <w:szCs w:val="22"/>
          <w:highlight w:val="none"/>
        </w:rPr>
        <w:t>改造）专项规划和经批复《中山市板芙镇工业用地规划条件论证》，</w:t>
      </w:r>
      <w:r>
        <w:rPr>
          <w:rFonts w:hint="eastAsia" w:ascii="仿宋_GB2312" w:hAnsi="仿宋_GB2312" w:eastAsia="仿宋_GB2312" w:cs="仿宋_GB2312"/>
          <w:color w:val="auto"/>
          <w:spacing w:val="-6"/>
          <w:kern w:val="2"/>
          <w:sz w:val="32"/>
          <w:szCs w:val="22"/>
          <w:highlight w:val="none"/>
          <w:lang w:val="en-US" w:eastAsia="zh-CN"/>
        </w:rPr>
        <w:t>板芙镇人民政府拟对位于</w:t>
      </w:r>
      <w:r>
        <w:rPr>
          <w:rFonts w:hint="eastAsia" w:ascii="仿宋_GB2312" w:hAnsi="仿宋_GB2312" w:eastAsia="仿宋_GB2312" w:cs="仿宋_GB2312"/>
          <w:color w:val="auto"/>
          <w:spacing w:val="-6"/>
          <w:sz w:val="32"/>
          <w:szCs w:val="22"/>
          <w:highlight w:val="none"/>
          <w:lang w:val="en-US" w:eastAsia="zh-CN"/>
        </w:rPr>
        <w:t>中山市板芙镇金钟村的</w:t>
      </w:r>
      <w:r>
        <w:rPr>
          <w:rFonts w:hint="eastAsia" w:ascii="仿宋_GB2312" w:hAnsi="仿宋_GB2312" w:eastAsia="仿宋_GB2312" w:cs="仿宋_GB2312"/>
          <w:i w:val="0"/>
          <w:iCs w:val="0"/>
          <w:caps w:val="0"/>
          <w:color w:val="auto"/>
          <w:spacing w:val="-6"/>
          <w:sz w:val="32"/>
          <w:szCs w:val="22"/>
          <w:highlight w:val="none"/>
          <w:shd w:val="clear" w:fill="auto"/>
        </w:rPr>
        <w:t>梁锦华</w:t>
      </w:r>
      <w:r>
        <w:rPr>
          <w:rFonts w:hint="eastAsia" w:ascii="仿宋_GB2312" w:hAnsi="仿宋_GB2312" w:eastAsia="仿宋_GB2312" w:cs="仿宋_GB2312"/>
          <w:color w:val="auto"/>
          <w:spacing w:val="-6"/>
          <w:sz w:val="32"/>
          <w:szCs w:val="22"/>
          <w:highlight w:val="none"/>
          <w:lang w:val="en-US" w:eastAsia="zh-CN"/>
        </w:rPr>
        <w:t>旧厂房用地进行改造，</w:t>
      </w:r>
      <w:r>
        <w:rPr>
          <w:rFonts w:hint="eastAsia" w:ascii="仿宋_GB2312" w:hAnsi="仿宋_GB2312" w:eastAsia="仿宋_GB2312" w:cs="仿宋_GB2312"/>
          <w:color w:val="auto"/>
          <w:spacing w:val="-6"/>
          <w:sz w:val="32"/>
          <w:szCs w:val="22"/>
          <w:highlight w:val="none"/>
          <w:lang w:eastAsia="zh-CN"/>
        </w:rPr>
        <w:t>由</w:t>
      </w:r>
      <w:r>
        <w:rPr>
          <w:rFonts w:hint="eastAsia" w:ascii="仿宋_GB2312" w:hAnsi="仿宋_GB2312" w:eastAsia="仿宋_GB2312" w:cs="仿宋_GB2312"/>
          <w:color w:val="auto"/>
          <w:spacing w:val="-6"/>
          <w:sz w:val="32"/>
          <w:szCs w:val="22"/>
          <w:highlight w:val="none"/>
          <w:lang w:val="en-US" w:eastAsia="zh-CN"/>
        </w:rPr>
        <w:t>权利人</w:t>
      </w:r>
      <w:r>
        <w:rPr>
          <w:rFonts w:hint="eastAsia" w:ascii="仿宋_GB2312" w:hAnsi="仿宋_GB2312" w:eastAsia="仿宋_GB2312" w:cs="仿宋_GB2312"/>
          <w:i w:val="0"/>
          <w:iCs w:val="0"/>
          <w:caps w:val="0"/>
          <w:color w:val="auto"/>
          <w:spacing w:val="-6"/>
          <w:sz w:val="32"/>
          <w:szCs w:val="22"/>
          <w:highlight w:val="none"/>
          <w:shd w:val="clear" w:fill="auto"/>
        </w:rPr>
        <w:t>梁锦华</w:t>
      </w:r>
      <w:r>
        <w:rPr>
          <w:rFonts w:hint="eastAsia" w:ascii="仿宋_GB2312" w:hAnsi="仿宋_GB2312" w:eastAsia="仿宋_GB2312" w:cs="仿宋_GB2312"/>
          <w:color w:val="auto"/>
          <w:spacing w:val="-6"/>
          <w:sz w:val="32"/>
          <w:szCs w:val="22"/>
          <w:highlight w:val="none"/>
          <w:lang w:val="en-US" w:eastAsia="zh-CN"/>
        </w:rPr>
        <w:t>自行</w:t>
      </w:r>
      <w:r>
        <w:rPr>
          <w:rFonts w:hint="eastAsia" w:ascii="仿宋_GB2312" w:hAnsi="仿宋_GB2312" w:eastAsia="仿宋_GB2312" w:cs="仿宋_GB2312"/>
          <w:color w:val="auto"/>
          <w:spacing w:val="-6"/>
          <w:sz w:val="32"/>
          <w:szCs w:val="22"/>
          <w:highlight w:val="none"/>
          <w:lang w:eastAsia="zh-CN"/>
        </w:rPr>
        <w:t>改造，采取</w:t>
      </w:r>
      <w:r>
        <w:rPr>
          <w:rFonts w:hint="eastAsia" w:ascii="仿宋_GB2312" w:hAnsi="仿宋_GB2312" w:eastAsia="仿宋_GB2312" w:cs="仿宋_GB2312"/>
          <w:color w:val="auto"/>
          <w:spacing w:val="-6"/>
          <w:sz w:val="32"/>
          <w:szCs w:val="22"/>
          <w:highlight w:val="none"/>
          <w:lang w:val="en-US" w:eastAsia="zh-CN"/>
        </w:rPr>
        <w:t>局部</w:t>
      </w:r>
      <w:r>
        <w:rPr>
          <w:rFonts w:hint="eastAsia" w:ascii="仿宋_GB2312" w:hAnsi="仿宋_GB2312" w:eastAsia="仿宋_GB2312" w:cs="仿宋_GB2312"/>
          <w:color w:val="auto"/>
          <w:spacing w:val="-6"/>
          <w:sz w:val="32"/>
          <w:szCs w:val="22"/>
          <w:highlight w:val="none"/>
          <w:lang w:eastAsia="zh-CN"/>
        </w:rPr>
        <w:t>改造的方式。</w:t>
      </w:r>
      <w:r>
        <w:rPr>
          <w:rFonts w:hint="eastAsia" w:ascii="仿宋_GB2312" w:hAnsi="仿宋_GB2312" w:eastAsia="仿宋_GB2312" w:cs="仿宋_GB2312"/>
          <w:color w:val="auto"/>
          <w:spacing w:val="-6"/>
          <w:sz w:val="32"/>
          <w:szCs w:val="22"/>
          <w:highlight w:val="none"/>
          <w:lang w:val="en-US" w:eastAsia="zh-CN"/>
        </w:rPr>
        <w:t>改造方案如下：</w:t>
      </w:r>
    </w:p>
    <w:p w14:paraId="48C10233">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eastAsia="黑体"/>
          <w:spacing w:val="-6"/>
          <w:kern w:val="28"/>
          <w:sz w:val="32"/>
          <w:szCs w:val="32"/>
        </w:rPr>
      </w:pPr>
      <w:r>
        <w:rPr>
          <w:rStyle w:val="13"/>
          <w:rFonts w:eastAsia="黑体" w:asciiTheme="minorHAnsi" w:hAnsiTheme="minorHAnsi" w:cstheme="minorBidi"/>
          <w:spacing w:val="-6"/>
          <w:kern w:val="28"/>
          <w:sz w:val="32"/>
          <w:szCs w:val="32"/>
        </w:rPr>
        <w:t>改造地块基本情况</w:t>
      </w:r>
    </w:p>
    <w:p w14:paraId="5AD9D8A8">
      <w:pPr>
        <w:keepNext w:val="0"/>
        <w:keepLines w:val="0"/>
        <w:pageBreakBefore w:val="0"/>
        <w:numPr>
          <w:ilvl w:val="0"/>
          <w:numId w:val="2"/>
        </w:numPr>
        <w:kinsoku/>
        <w:wordWrap w:val="0"/>
        <w:overflowPunct/>
        <w:topLinePunct w:val="0"/>
        <w:autoSpaceDE/>
        <w:autoSpaceDN/>
        <w:bidi w:val="0"/>
        <w:adjustRightInd/>
        <w:snapToGrid/>
        <w:spacing w:beforeLines="0" w:afterLines="0" w:line="575" w:lineRule="exact"/>
        <w:ind w:left="0" w:right="0" w:rightChars="0" w:firstLine="616" w:firstLineChars="200"/>
        <w:rPr>
          <w:rFonts w:hint="eastAsia" w:ascii="楷体_GB2312" w:eastAsia="楷体_GB2312" w:cs="Times New Roman"/>
          <w:spacing w:val="-6"/>
          <w:sz w:val="32"/>
          <w:szCs w:val="32"/>
        </w:rPr>
      </w:pPr>
      <w:r>
        <w:rPr>
          <w:rFonts w:hint="eastAsia" w:ascii="楷体_GB2312" w:eastAsia="楷体_GB2312" w:cs="Times New Roman"/>
          <w:spacing w:val="-6"/>
          <w:sz w:val="32"/>
          <w:szCs w:val="32"/>
        </w:rPr>
        <w:t>总体情况</w:t>
      </w:r>
    </w:p>
    <w:p w14:paraId="6B876BCE">
      <w:pPr>
        <w:pStyle w:val="3"/>
        <w:spacing w:before="0" w:after="0" w:line="575" w:lineRule="exact"/>
        <w:ind w:firstLine="616" w:firstLineChars="200"/>
        <w:rPr>
          <w:rFonts w:hint="eastAsia" w:ascii="仿宋_GB2312" w:hAnsi="仿宋_GB2312" w:eastAsia="仿宋_GB2312" w:cs="仿宋_GB2312"/>
          <w:b w:val="0"/>
          <w:bCs w:val="0"/>
          <w:color w:val="auto"/>
          <w:spacing w:val="-6"/>
          <w:kern w:val="2"/>
          <w:sz w:val="32"/>
          <w:szCs w:val="22"/>
          <w:highlight w:val="none"/>
        </w:rPr>
      </w:pPr>
      <w:r>
        <w:rPr>
          <w:rFonts w:hint="eastAsia" w:ascii="仿宋_GB2312" w:hAnsi="仿宋_GB2312" w:eastAsia="仿宋_GB2312" w:cs="仿宋_GB2312"/>
          <w:b w:val="0"/>
          <w:bCs w:val="0"/>
          <w:color w:val="auto"/>
          <w:spacing w:val="-6"/>
          <w:kern w:val="2"/>
          <w:sz w:val="32"/>
          <w:szCs w:val="22"/>
          <w:highlight w:val="none"/>
        </w:rPr>
        <w:t>改造项目涉及1宗地，位于中山市板芙镇金钟村(顺景工业园)工业大道28号，北至锦绣路，南至工业大道，东至中山市燕洋皮具有限公司，西至中山市健家建材有限公司生产基地，用地面积为2.1792公顷（21791.80平方米，折合32.69亩）</w:t>
      </w:r>
      <w:r>
        <w:rPr>
          <w:rFonts w:hint="eastAsia" w:ascii="仿宋_GB2312" w:hAnsi="仿宋_GB2312" w:eastAsia="仿宋_GB2312" w:cs="仿宋_GB2312"/>
          <w:b w:val="0"/>
          <w:bCs w:val="0"/>
          <w:color w:val="auto"/>
          <w:spacing w:val="-6"/>
          <w:kern w:val="2"/>
          <w:sz w:val="32"/>
          <w:szCs w:val="22"/>
          <w:highlight w:val="none"/>
          <w:lang w:eastAsia="zh-CN"/>
        </w:rPr>
        <w:t>。</w:t>
      </w:r>
    </w:p>
    <w:p w14:paraId="7DCA9180">
      <w:pPr>
        <w:numPr>
          <w:ilvl w:val="0"/>
          <w:numId w:val="2"/>
        </w:numPr>
        <w:wordWrap w:val="0"/>
        <w:spacing w:beforeLines="0" w:afterLines="0" w:line="575" w:lineRule="exact"/>
        <w:ind w:left="0" w:firstLine="616" w:firstLineChars="200"/>
        <w:rPr>
          <w:rFonts w:ascii="楷体_GB2312" w:eastAsia="楷体_GB2312" w:cs="Times New Roman"/>
          <w:spacing w:val="-6"/>
          <w:sz w:val="32"/>
          <w:szCs w:val="32"/>
        </w:rPr>
      </w:pPr>
      <w:r>
        <w:rPr>
          <w:rFonts w:ascii="楷体_GB2312" w:eastAsia="楷体_GB2312" w:cs="Times New Roman"/>
          <w:spacing w:val="-6"/>
          <w:sz w:val="32"/>
          <w:szCs w:val="32"/>
        </w:rPr>
        <w:t>标图入库情况</w:t>
      </w:r>
    </w:p>
    <w:p w14:paraId="0E67A115">
      <w:pPr>
        <w:widowControl/>
        <w:numPr>
          <w:ilvl w:val="-1"/>
          <w:numId w:val="0"/>
        </w:numPr>
        <w:wordWrap/>
        <w:spacing w:beforeLines="0" w:afterLines="0" w:line="575" w:lineRule="exact"/>
        <w:ind w:firstLine="616" w:firstLineChars="200"/>
        <w:jc w:val="left"/>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改造项目正在办理“三旧”改造标图入库，图斑编号为44200070024，拟标图入库图斑面积2.1778公顷（</w:t>
      </w:r>
      <w:r>
        <w:rPr>
          <w:rFonts w:hint="eastAsia" w:ascii="仿宋_GB2312" w:hAnsi="仿宋_GB2312" w:eastAsia="仿宋_GB2312" w:cs="仿宋_GB2312"/>
          <w:b w:val="0"/>
          <w:bCs w:val="0"/>
          <w:i w:val="0"/>
          <w:iCs w:val="0"/>
          <w:caps w:val="0"/>
          <w:color w:val="auto"/>
          <w:spacing w:val="-6"/>
          <w:kern w:val="2"/>
          <w:sz w:val="32"/>
          <w:szCs w:val="22"/>
          <w:highlight w:val="none"/>
          <w:shd w:val="clear"/>
          <w:lang w:val="en-US" w:eastAsia="zh-CN" w:bidi="ar-SA"/>
        </w:rPr>
        <w:t>21778.36</w:t>
      </w:r>
      <w:r>
        <w:rPr>
          <w:rFonts w:hint="eastAsia" w:ascii="仿宋_GB2312" w:hAnsi="仿宋_GB2312" w:eastAsia="仿宋_GB2312" w:cs="仿宋_GB2312"/>
          <w:b w:val="0"/>
          <w:bCs w:val="0"/>
          <w:color w:val="auto"/>
          <w:spacing w:val="-6"/>
          <w:kern w:val="2"/>
          <w:sz w:val="32"/>
          <w:szCs w:val="22"/>
          <w:highlight w:val="none"/>
          <w:lang w:bidi="ar-SA"/>
        </w:rPr>
        <w:t>平方米</w:t>
      </w:r>
      <w:r>
        <w:rPr>
          <w:rFonts w:hint="eastAsia" w:ascii="仿宋_GB2312" w:hAnsi="仿宋_GB2312" w:eastAsia="仿宋_GB2312" w:cs="仿宋_GB2312"/>
          <w:color w:val="auto"/>
          <w:spacing w:val="-6"/>
          <w:sz w:val="32"/>
          <w:szCs w:val="22"/>
          <w:highlight w:val="none"/>
          <w:lang w:val="en-US" w:eastAsia="zh-CN"/>
        </w:rPr>
        <w:t>，折合32.67亩），</w:t>
      </w:r>
      <w:r>
        <w:rPr>
          <w:rFonts w:hint="eastAsia" w:ascii="仿宋_GB2312" w:hAnsi="仿宋_GB2312" w:eastAsia="仿宋_GB2312" w:cs="仿宋_GB2312"/>
          <w:spacing w:val="-6"/>
          <w:kern w:val="0"/>
          <w:sz w:val="32"/>
          <w:szCs w:val="32"/>
          <w:highlight w:val="none"/>
          <w:lang w:eastAsia="zh-CN"/>
        </w:rPr>
        <w:t>改造地块中</w:t>
      </w:r>
      <w:r>
        <w:rPr>
          <w:rFonts w:hint="eastAsia" w:ascii="仿宋_GB2312" w:hAnsi="仿宋_GB2312" w:eastAsia="仿宋_GB2312" w:cs="仿宋_GB2312"/>
          <w:spacing w:val="-6"/>
          <w:kern w:val="0"/>
          <w:sz w:val="32"/>
          <w:szCs w:val="32"/>
          <w:highlight w:val="none"/>
          <w:lang w:val="en-US" w:eastAsia="zh-CN"/>
        </w:rPr>
        <w:t>有0.0013公顷（13.44平方米，折合约0.02 亩）不符合标图入库条件，不纳入本次改造范围</w:t>
      </w:r>
      <w:r>
        <w:rPr>
          <w:rFonts w:hint="eastAsia" w:ascii="仿宋_GB2312" w:hAnsi="仿宋_GB2312" w:eastAsia="仿宋_GB2312" w:cs="仿宋_GB2312"/>
          <w:spacing w:val="-6"/>
          <w:kern w:val="0"/>
          <w:sz w:val="32"/>
          <w:szCs w:val="32"/>
          <w:highlight w:val="none"/>
          <w:lang w:eastAsia="zh-CN"/>
        </w:rPr>
        <w:t>。</w:t>
      </w:r>
    </w:p>
    <w:p w14:paraId="36C1F3C7">
      <w:pPr>
        <w:numPr>
          <w:ilvl w:val="0"/>
          <w:numId w:val="2"/>
        </w:numPr>
        <w:wordWrap w:val="0"/>
        <w:spacing w:beforeLines="0" w:afterLines="0" w:line="575" w:lineRule="exact"/>
        <w:ind w:left="0" w:firstLine="616" w:firstLineChars="200"/>
        <w:rPr>
          <w:rFonts w:hint="eastAsia" w:ascii="楷体_GB2312" w:eastAsia="楷体_GB2312" w:cs="Times New Roman"/>
          <w:spacing w:val="-6"/>
          <w:sz w:val="32"/>
          <w:szCs w:val="32"/>
        </w:rPr>
      </w:pPr>
      <w:r>
        <w:rPr>
          <w:rFonts w:hint="eastAsia" w:ascii="楷体_GB2312" w:eastAsia="楷体_GB2312" w:cs="Times New Roman"/>
          <w:spacing w:val="-6"/>
          <w:sz w:val="32"/>
          <w:szCs w:val="32"/>
        </w:rPr>
        <w:t>权属情况</w:t>
      </w:r>
    </w:p>
    <w:p w14:paraId="57E97538">
      <w:pPr>
        <w:numPr>
          <w:ilvl w:val="-1"/>
          <w:numId w:val="0"/>
        </w:numPr>
        <w:wordWrap w:val="0"/>
        <w:spacing w:beforeLines="0" w:afterLines="0" w:line="575" w:lineRule="exact"/>
        <w:ind w:firstLine="616" w:firstLineChars="200"/>
        <w:rPr>
          <w:rFonts w:hint="eastAsia" w:ascii="Times New Roman" w:hAnsi="Times New Roman" w:eastAsia="仿宋_GB2312" w:cs="仿宋_GB2312"/>
          <w:sz w:val="32"/>
          <w:szCs w:val="32"/>
          <w:highlight w:val="none"/>
          <w:lang w:val="en-US" w:eastAsia="zh-CN"/>
        </w:rPr>
      </w:pPr>
      <w:r>
        <w:rPr>
          <w:rFonts w:hint="eastAsia" w:ascii="仿宋_GB2312" w:hAnsi="仿宋_GB2312" w:eastAsia="仿宋_GB2312" w:cs="仿宋_GB2312"/>
          <w:color w:val="auto"/>
          <w:spacing w:val="-6"/>
          <w:sz w:val="32"/>
          <w:szCs w:val="22"/>
          <w:highlight w:val="none"/>
          <w:lang w:val="en-US" w:eastAsia="zh-CN"/>
        </w:rPr>
        <w:t>改造项目全部属国有建设用地，土地用途为工业，改造涉及的土地已经确权、登记，不动产产权证号为</w:t>
      </w:r>
      <w:r>
        <w:rPr>
          <w:rFonts w:hint="eastAsia" w:ascii="仿宋_GB2312" w:hAnsi="仿宋_GB2312" w:eastAsia="仿宋_GB2312" w:cs="仿宋_GB2312"/>
          <w:i w:val="0"/>
          <w:iCs w:val="0"/>
          <w:caps w:val="0"/>
          <w:color w:val="auto"/>
          <w:spacing w:val="-6"/>
          <w:sz w:val="32"/>
          <w:szCs w:val="22"/>
          <w:highlight w:val="none"/>
          <w:shd w:val="clear" w:fill="auto"/>
        </w:rPr>
        <w:t>粤(20</w:t>
      </w:r>
      <w:r>
        <w:rPr>
          <w:rFonts w:hint="eastAsia" w:ascii="仿宋_GB2312" w:hAnsi="仿宋_GB2312" w:eastAsia="仿宋_GB2312" w:cs="仿宋_GB2312"/>
          <w:i w:val="0"/>
          <w:iCs w:val="0"/>
          <w:caps w:val="0"/>
          <w:color w:val="auto"/>
          <w:spacing w:val="-6"/>
          <w:sz w:val="32"/>
          <w:szCs w:val="22"/>
          <w:highlight w:val="none"/>
          <w:shd w:val="clear" w:fill="auto"/>
          <w:lang w:eastAsia="zh-CN"/>
        </w:rPr>
        <w:t>2</w:t>
      </w:r>
      <w:r>
        <w:rPr>
          <w:rFonts w:hint="eastAsia" w:ascii="仿宋_GB2312" w:hAnsi="仿宋_GB2312" w:eastAsia="仿宋_GB2312" w:cs="仿宋_GB2312"/>
          <w:i w:val="0"/>
          <w:iCs w:val="0"/>
          <w:caps w:val="0"/>
          <w:color w:val="auto"/>
          <w:spacing w:val="-6"/>
          <w:sz w:val="32"/>
          <w:szCs w:val="22"/>
          <w:highlight w:val="none"/>
          <w:shd w:val="clear" w:fill="auto"/>
          <w:lang w:val="en-US" w:eastAsia="zh-CN"/>
        </w:rPr>
        <w:t>4</w:t>
      </w:r>
      <w:r>
        <w:rPr>
          <w:rFonts w:hint="eastAsia" w:ascii="仿宋_GB2312" w:hAnsi="仿宋_GB2312" w:eastAsia="仿宋_GB2312" w:cs="仿宋_GB2312"/>
          <w:i w:val="0"/>
          <w:iCs w:val="0"/>
          <w:caps w:val="0"/>
          <w:color w:val="auto"/>
          <w:spacing w:val="-6"/>
          <w:sz w:val="32"/>
          <w:szCs w:val="22"/>
          <w:highlight w:val="none"/>
          <w:shd w:val="clear" w:fill="auto"/>
        </w:rPr>
        <w:t>)中山市不动产权第</w:t>
      </w:r>
      <w:r>
        <w:rPr>
          <w:rFonts w:hint="eastAsia" w:ascii="仿宋_GB2312" w:hAnsi="仿宋_GB2312" w:eastAsia="仿宋_GB2312" w:cs="仿宋_GB2312"/>
          <w:i w:val="0"/>
          <w:iCs w:val="0"/>
          <w:caps w:val="0"/>
          <w:color w:val="auto"/>
          <w:spacing w:val="-6"/>
          <w:sz w:val="32"/>
          <w:szCs w:val="22"/>
          <w:highlight w:val="none"/>
          <w:shd w:val="clear" w:fill="auto"/>
          <w:lang w:eastAsia="zh-CN"/>
        </w:rPr>
        <w:t>0</w:t>
      </w:r>
      <w:r>
        <w:rPr>
          <w:rFonts w:hint="eastAsia" w:ascii="仿宋_GB2312" w:hAnsi="仿宋_GB2312" w:eastAsia="仿宋_GB2312" w:cs="仿宋_GB2312"/>
          <w:i w:val="0"/>
          <w:iCs w:val="0"/>
          <w:caps w:val="0"/>
          <w:color w:val="auto"/>
          <w:spacing w:val="-6"/>
          <w:sz w:val="32"/>
          <w:szCs w:val="22"/>
          <w:highlight w:val="none"/>
          <w:shd w:val="clear" w:fill="auto"/>
          <w:lang w:val="en-US" w:eastAsia="zh-CN"/>
        </w:rPr>
        <w:t>578230</w:t>
      </w:r>
      <w:r>
        <w:rPr>
          <w:rFonts w:hint="eastAsia" w:ascii="仿宋_GB2312" w:hAnsi="仿宋_GB2312" w:eastAsia="仿宋_GB2312" w:cs="仿宋_GB2312"/>
          <w:i w:val="0"/>
          <w:iCs w:val="0"/>
          <w:caps w:val="0"/>
          <w:color w:val="auto"/>
          <w:spacing w:val="-6"/>
          <w:sz w:val="32"/>
          <w:szCs w:val="22"/>
          <w:highlight w:val="none"/>
          <w:shd w:val="clear" w:fill="auto"/>
        </w:rPr>
        <w:t>号</w:t>
      </w:r>
      <w:r>
        <w:rPr>
          <w:rFonts w:hint="eastAsia" w:ascii="仿宋_GB2312" w:hAnsi="仿宋_GB2312" w:eastAsia="仿宋_GB2312" w:cs="仿宋_GB2312"/>
          <w:color w:val="auto"/>
          <w:spacing w:val="-6"/>
          <w:sz w:val="32"/>
          <w:szCs w:val="22"/>
          <w:highlight w:val="none"/>
          <w:lang w:val="en-US" w:eastAsia="zh-CN"/>
        </w:rPr>
        <w:t>，为土地权利人为</w:t>
      </w:r>
      <w:r>
        <w:rPr>
          <w:rFonts w:hint="eastAsia" w:ascii="仿宋_GB2312" w:hAnsi="仿宋_GB2312" w:eastAsia="仿宋_GB2312" w:cs="仿宋_GB2312"/>
          <w:i w:val="0"/>
          <w:iCs w:val="0"/>
          <w:caps w:val="0"/>
          <w:color w:val="auto"/>
          <w:spacing w:val="-6"/>
          <w:kern w:val="2"/>
          <w:sz w:val="32"/>
          <w:szCs w:val="22"/>
          <w:highlight w:val="none"/>
          <w:shd w:val="clear"/>
        </w:rPr>
        <w:t>梁锦华</w:t>
      </w:r>
      <w:r>
        <w:rPr>
          <w:rFonts w:hint="eastAsia" w:ascii="仿宋_GB2312" w:hAnsi="仿宋_GB2312" w:eastAsia="仿宋_GB2312" w:cs="仿宋_GB2312"/>
          <w:color w:val="auto"/>
          <w:spacing w:val="-6"/>
          <w:sz w:val="32"/>
          <w:szCs w:val="22"/>
          <w:highlight w:val="none"/>
          <w:lang w:val="en-US" w:eastAsia="zh-CN"/>
        </w:rPr>
        <w:t>自2003年12月开始使用。</w:t>
      </w:r>
    </w:p>
    <w:p w14:paraId="325E4D9B">
      <w:pPr>
        <w:keepNext w:val="0"/>
        <w:keepLines w:val="0"/>
        <w:pageBreakBefore w:val="0"/>
        <w:numPr>
          <w:ilvl w:val="0"/>
          <w:numId w:val="3"/>
        </w:numPr>
        <w:kinsoku/>
        <w:wordWrap w:val="0"/>
        <w:overflowPunct/>
        <w:topLinePunct w:val="0"/>
        <w:autoSpaceDE/>
        <w:autoSpaceDN/>
        <w:bidi w:val="0"/>
        <w:adjustRightInd/>
        <w:snapToGrid/>
        <w:spacing w:beforeLines="0" w:afterLines="0" w:line="575" w:lineRule="exact"/>
        <w:ind w:right="0" w:rightChars="0" w:firstLine="616" w:firstLineChars="200"/>
        <w:rPr>
          <w:rFonts w:ascii="楷体_GB2312" w:eastAsia="楷体_GB2312" w:cs="Times New Roman"/>
          <w:spacing w:val="-6"/>
          <w:sz w:val="32"/>
          <w:szCs w:val="32"/>
        </w:rPr>
      </w:pPr>
      <w:r>
        <w:rPr>
          <w:rFonts w:ascii="楷体_GB2312" w:eastAsia="楷体_GB2312" w:cs="Times New Roman"/>
          <w:spacing w:val="-6"/>
          <w:sz w:val="32"/>
          <w:szCs w:val="32"/>
        </w:rPr>
        <w:t>土地现状情况</w:t>
      </w:r>
    </w:p>
    <w:p w14:paraId="218F64FC">
      <w:pPr>
        <w:spacing w:beforeLines="0" w:afterLines="0" w:line="575"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lang w:val="en-US" w:eastAsia="zh-CN"/>
        </w:rPr>
        <w:t>改造项目在“二调”中</w:t>
      </w:r>
      <w:r>
        <w:rPr>
          <w:rFonts w:hint="eastAsia" w:ascii="仿宋_GB2312" w:hAnsi="仿宋_GB2312" w:eastAsia="仿宋_GB2312" w:cs="仿宋_GB2312"/>
          <w:i w:val="0"/>
          <w:iCs w:val="0"/>
          <w:caps w:val="0"/>
          <w:color w:val="auto"/>
          <w:spacing w:val="-6"/>
          <w:kern w:val="0"/>
          <w:sz w:val="32"/>
          <w:szCs w:val="32"/>
          <w:highlight w:val="none"/>
          <w:shd w:val="clear" w:fill="auto"/>
        </w:rPr>
        <w:t>建设用地</w:t>
      </w:r>
      <w:r>
        <w:rPr>
          <w:rFonts w:hint="eastAsia" w:ascii="仿宋_GB2312" w:hAnsi="仿宋_GB2312" w:eastAsia="仿宋_GB2312" w:cs="仿宋_GB2312"/>
          <w:i w:val="0"/>
          <w:iCs w:val="0"/>
          <w:caps w:val="0"/>
          <w:color w:val="auto"/>
          <w:spacing w:val="-6"/>
          <w:kern w:val="0"/>
          <w:sz w:val="32"/>
          <w:szCs w:val="32"/>
          <w:highlight w:val="none"/>
          <w:shd w:val="clear" w:fill="auto"/>
          <w:lang w:val="en-US" w:eastAsia="zh-CN"/>
        </w:rPr>
        <w:t>为2.1778公顷</w:t>
      </w:r>
      <w:r>
        <w:rPr>
          <w:rFonts w:hint="eastAsia" w:ascii="仿宋_GB2312" w:hAnsi="仿宋_GB2312" w:eastAsia="仿宋_GB2312" w:cs="仿宋_GB2312"/>
          <w:i w:val="0"/>
          <w:iCs w:val="0"/>
          <w:caps w:val="0"/>
          <w:color w:val="auto"/>
          <w:spacing w:val="-6"/>
          <w:kern w:val="0"/>
          <w:sz w:val="32"/>
          <w:szCs w:val="32"/>
          <w:highlight w:val="none"/>
          <w:shd w:val="clear" w:fill="auto"/>
          <w:lang w:eastAsia="zh-CN"/>
        </w:rPr>
        <w:t>（</w:t>
      </w:r>
      <w:r>
        <w:rPr>
          <w:rFonts w:hint="eastAsia" w:ascii="仿宋_GB2312" w:hAnsi="仿宋_GB2312" w:eastAsia="仿宋_GB2312" w:cs="仿宋_GB2312"/>
          <w:b w:val="0"/>
          <w:bCs w:val="0"/>
          <w:i w:val="0"/>
          <w:iCs w:val="0"/>
          <w:caps w:val="0"/>
          <w:color w:val="auto"/>
          <w:spacing w:val="-6"/>
          <w:kern w:val="2"/>
          <w:sz w:val="32"/>
          <w:szCs w:val="22"/>
          <w:highlight w:val="none"/>
          <w:shd w:val="clear"/>
          <w:lang w:val="en-US" w:eastAsia="zh-CN" w:bidi="ar-SA"/>
        </w:rPr>
        <w:t>21778.36</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i w:val="0"/>
          <w:iCs w:val="0"/>
          <w:caps w:val="0"/>
          <w:color w:val="auto"/>
          <w:spacing w:val="-6"/>
          <w:kern w:val="0"/>
          <w:sz w:val="32"/>
          <w:szCs w:val="32"/>
          <w:highlight w:val="none"/>
          <w:shd w:val="clear" w:fill="auto"/>
          <w:lang w:eastAsia="zh-CN"/>
        </w:rPr>
        <w:t>，折合</w:t>
      </w:r>
      <w:r>
        <w:rPr>
          <w:rFonts w:hint="eastAsia" w:ascii="仿宋_GB2312" w:hAnsi="仿宋_GB2312" w:eastAsia="仿宋_GB2312" w:cs="仿宋_GB2312"/>
          <w:i w:val="0"/>
          <w:iCs w:val="0"/>
          <w:caps w:val="0"/>
          <w:color w:val="auto"/>
          <w:spacing w:val="-6"/>
          <w:kern w:val="0"/>
          <w:sz w:val="32"/>
          <w:szCs w:val="32"/>
          <w:highlight w:val="none"/>
          <w:shd w:val="clear" w:fill="auto"/>
          <w:lang w:val="en-US" w:eastAsia="zh-CN"/>
        </w:rPr>
        <w:t>32.67亩</w:t>
      </w:r>
      <w:r>
        <w:rPr>
          <w:rFonts w:hint="eastAsia" w:ascii="仿宋_GB2312" w:hAnsi="仿宋_GB2312" w:eastAsia="仿宋_GB2312" w:cs="仿宋_GB2312"/>
          <w:i w:val="0"/>
          <w:iCs w:val="0"/>
          <w:caps w:val="0"/>
          <w:color w:val="auto"/>
          <w:spacing w:val="-6"/>
          <w:kern w:val="0"/>
          <w:sz w:val="32"/>
          <w:szCs w:val="32"/>
          <w:highlight w:val="none"/>
          <w:shd w:val="clear" w:fill="auto"/>
          <w:lang w:eastAsia="zh-CN"/>
        </w:rPr>
        <w:t>）</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i w:val="0"/>
          <w:iCs w:val="0"/>
          <w:caps w:val="0"/>
          <w:color w:val="auto"/>
          <w:spacing w:val="-6"/>
          <w:kern w:val="0"/>
          <w:sz w:val="32"/>
          <w:szCs w:val="32"/>
          <w:highlight w:val="none"/>
          <w:shd w:val="clear" w:fill="auto"/>
          <w:lang w:val="en-US" w:eastAsia="zh-CN"/>
        </w:rPr>
        <w:t>农用地（沟渠）为</w:t>
      </w:r>
      <w:r>
        <w:rPr>
          <w:rFonts w:hint="eastAsia" w:ascii="仿宋_GB2312" w:hAnsi="仿宋_GB2312" w:eastAsia="仿宋_GB2312" w:cs="仿宋_GB2312"/>
          <w:spacing w:val="-6"/>
          <w:kern w:val="0"/>
          <w:sz w:val="32"/>
          <w:szCs w:val="32"/>
          <w:highlight w:val="none"/>
          <w:lang w:val="en-US" w:eastAsia="zh-CN"/>
        </w:rPr>
        <w:t>13.44</w:t>
      </w:r>
      <w:r>
        <w:rPr>
          <w:rFonts w:hint="eastAsia" w:ascii="仿宋_GB2312" w:hAnsi="仿宋_GB2312" w:eastAsia="仿宋_GB2312" w:cs="仿宋_GB2312"/>
          <w:i w:val="0"/>
          <w:iCs w:val="0"/>
          <w:caps w:val="0"/>
          <w:color w:val="auto"/>
          <w:spacing w:val="-6"/>
          <w:kern w:val="0"/>
          <w:sz w:val="32"/>
          <w:szCs w:val="32"/>
          <w:highlight w:val="none"/>
          <w:shd w:val="clear" w:fill="auto"/>
        </w:rPr>
        <w:t>平方米</w:t>
      </w:r>
      <w:r>
        <w:rPr>
          <w:rFonts w:hint="eastAsia" w:ascii="仿宋_GB2312" w:hAnsi="仿宋_GB2312" w:eastAsia="仿宋_GB2312" w:cs="仿宋_GB2312"/>
          <w:i w:val="0"/>
          <w:iCs w:val="0"/>
          <w:caps w:val="0"/>
          <w:color w:val="auto"/>
          <w:spacing w:val="-6"/>
          <w:kern w:val="0"/>
          <w:sz w:val="32"/>
          <w:szCs w:val="32"/>
          <w:highlight w:val="none"/>
          <w:shd w:val="clear" w:fill="auto"/>
          <w:lang w:eastAsia="zh-CN"/>
        </w:rPr>
        <w:t>；在</w:t>
      </w:r>
      <w:r>
        <w:rPr>
          <w:rFonts w:hint="eastAsia" w:ascii="仿宋_GB2312" w:hAnsi="仿宋_GB2312" w:eastAsia="仿宋_GB2312" w:cs="仿宋_GB2312"/>
          <w:spacing w:val="-6"/>
          <w:kern w:val="0"/>
          <w:sz w:val="32"/>
          <w:szCs w:val="32"/>
          <w:highlight w:val="none"/>
          <w:lang w:val="en-US" w:eastAsia="zh-CN"/>
        </w:rPr>
        <w:t>最新土地地类调查中</w:t>
      </w:r>
      <w:r>
        <w:rPr>
          <w:rFonts w:hint="eastAsia" w:ascii="仿宋_GB2312" w:hAnsi="仿宋_GB2312" w:eastAsia="仿宋_GB2312" w:cs="仿宋_GB2312"/>
          <w:b w:val="0"/>
          <w:bCs w:val="0"/>
          <w:i w:val="0"/>
          <w:iCs w:val="0"/>
          <w:caps w:val="0"/>
          <w:color w:val="auto"/>
          <w:spacing w:val="-6"/>
          <w:kern w:val="2"/>
          <w:sz w:val="32"/>
          <w:szCs w:val="22"/>
          <w:highlight w:val="none"/>
          <w:shd w:val="clear"/>
          <w:lang w:val="en-US" w:eastAsia="zh-CN" w:bidi="ar-SA"/>
        </w:rPr>
        <w:t>均为建设用地</w:t>
      </w:r>
      <w:r>
        <w:rPr>
          <w:rFonts w:hint="eastAsia" w:ascii="仿宋_GB2312" w:hAnsi="仿宋_GB2312" w:eastAsia="仿宋_GB2312" w:cs="仿宋_GB2312"/>
          <w:i w:val="0"/>
          <w:iCs w:val="0"/>
          <w:caps w:val="0"/>
          <w:spacing w:val="-6"/>
          <w:kern w:val="0"/>
          <w:sz w:val="32"/>
          <w:szCs w:val="32"/>
          <w:highlight w:val="none"/>
          <w:shd w:val="clear"/>
          <w:lang w:eastAsia="zh-CN"/>
        </w:rPr>
        <w:t>。</w:t>
      </w:r>
    </w:p>
    <w:p w14:paraId="0BBA4817">
      <w:pPr>
        <w:keepNext w:val="0"/>
        <w:keepLines w:val="0"/>
        <w:pageBreakBefore w:val="0"/>
        <w:kinsoku/>
        <w:wordWrap w:val="0"/>
        <w:overflowPunct/>
        <w:topLinePunct w:val="0"/>
        <w:autoSpaceDE/>
        <w:autoSpaceDN/>
        <w:bidi w:val="0"/>
        <w:adjustRightInd/>
        <w:snapToGrid/>
        <w:spacing w:beforeLines="0" w:afterLines="0" w:line="575" w:lineRule="exact"/>
        <w:ind w:right="0" w:rightChars="0" w:firstLine="616" w:firstLineChars="200"/>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val="en-US" w:eastAsia="zh-CN"/>
        </w:rPr>
        <w:t>改造范围内现有共6幢建筑物，其中3幢建筑物为钢筋混凝土结构，已按规定办理不动产权登记手续，3幢为钢结构简易棚，无合法规划报建手续。总建筑面积为18361.86平方米，现状容积率约为0.84，作工业厂房所用。该地块目前暂未拆除建筑，保留的3幢建筑物（已有不动产权登记手续）面积为13794.20平方米，拆除其余3幢建筑物共4567.66平方米。</w:t>
      </w:r>
      <w:r>
        <w:rPr>
          <w:rFonts w:hint="eastAsia" w:ascii="仿宋_GB2312" w:hAnsi="仿宋_GB2312" w:eastAsia="仿宋_GB2312" w:cs="仿宋_GB2312"/>
          <w:color w:val="auto"/>
          <w:spacing w:val="-6"/>
          <w:kern w:val="2"/>
          <w:sz w:val="32"/>
          <w:szCs w:val="22"/>
          <w:highlight w:val="none"/>
          <w:lang w:val="en-US" w:eastAsia="zh-CN" w:bidi="ar-SA"/>
        </w:rPr>
        <w:t>改造前年产值约为</w:t>
      </w:r>
      <w:r>
        <w:rPr>
          <w:rFonts w:hint="eastAsia" w:ascii="仿宋_GB2312" w:hAnsi="仿宋_GB2312" w:eastAsia="仿宋_GB2312" w:cs="仿宋_GB2312"/>
          <w:color w:val="auto"/>
          <w:spacing w:val="-6"/>
          <w:sz w:val="32"/>
          <w:szCs w:val="22"/>
          <w:highlight w:val="none"/>
          <w:lang w:val="en-US" w:eastAsia="zh-CN"/>
        </w:rPr>
        <w:t>3000</w:t>
      </w:r>
      <w:r>
        <w:rPr>
          <w:rFonts w:hint="eastAsia" w:ascii="仿宋_GB2312" w:hAnsi="仿宋_GB2312" w:eastAsia="仿宋_GB2312" w:cs="仿宋_GB2312"/>
          <w:color w:val="auto"/>
          <w:spacing w:val="-6"/>
          <w:kern w:val="2"/>
          <w:sz w:val="32"/>
          <w:szCs w:val="22"/>
          <w:highlight w:val="none"/>
          <w:lang w:val="en-US" w:eastAsia="zh-CN" w:bidi="ar-SA"/>
        </w:rPr>
        <w:t>万元（91.8万/亩），年税收约为120</w:t>
      </w:r>
      <w:r>
        <w:rPr>
          <w:rFonts w:hint="eastAsia" w:ascii="仿宋_GB2312" w:hAnsi="仿宋_GB2312" w:eastAsia="仿宋_GB2312" w:cs="仿宋_GB2312"/>
          <w:color w:val="auto"/>
          <w:spacing w:val="-6"/>
          <w:sz w:val="32"/>
          <w:szCs w:val="22"/>
          <w:highlight w:val="none"/>
          <w:lang w:val="en-US" w:eastAsia="zh-CN"/>
        </w:rPr>
        <w:t>万</w:t>
      </w:r>
      <w:r>
        <w:rPr>
          <w:rFonts w:hint="eastAsia" w:ascii="仿宋_GB2312" w:hAnsi="仿宋_GB2312" w:eastAsia="仿宋_GB2312" w:cs="仿宋_GB2312"/>
          <w:color w:val="auto"/>
          <w:spacing w:val="-6"/>
          <w:kern w:val="2"/>
          <w:sz w:val="32"/>
          <w:szCs w:val="22"/>
          <w:highlight w:val="none"/>
          <w:lang w:val="en-US" w:eastAsia="zh-CN" w:bidi="ar-SA"/>
        </w:rPr>
        <w:t>元（3.7万/亩）。</w:t>
      </w:r>
    </w:p>
    <w:p w14:paraId="1B23F18D">
      <w:pPr>
        <w:keepNext w:val="0"/>
        <w:keepLines w:val="0"/>
        <w:pageBreakBefore w:val="0"/>
        <w:widowControl/>
        <w:kinsoku/>
        <w:wordWrap w:val="0"/>
        <w:overflowPunct/>
        <w:topLinePunct w:val="0"/>
        <w:autoSpaceDE/>
        <w:autoSpaceDN/>
        <w:bidi w:val="0"/>
        <w:adjustRightInd/>
        <w:snapToGrid/>
        <w:spacing w:beforeLines="0" w:afterLines="0" w:line="575" w:lineRule="exact"/>
        <w:ind w:left="0" w:leftChars="0" w:right="0" w:rightChars="0" w:firstLine="616" w:firstLineChars="200"/>
        <w:jc w:val="left"/>
        <w:textAlignment w:val="auto"/>
        <w:outlineLvl w:val="9"/>
        <w:rPr>
          <w:rFonts w:hint="eastAsia" w:ascii="仿宋_GB2312" w:hAnsi="仿宋_GB2312" w:eastAsia="仿宋_GB2312" w:cs="仿宋_GB2312"/>
          <w:b w:val="0"/>
          <w:bCs w:val="0"/>
          <w:color w:val="auto"/>
          <w:spacing w:val="-6"/>
          <w:sz w:val="32"/>
          <w:szCs w:val="22"/>
          <w:highlight w:val="none"/>
          <w:lang w:eastAsia="zh-CN"/>
        </w:rPr>
      </w:pPr>
      <w:r>
        <w:rPr>
          <w:rFonts w:hint="eastAsia" w:ascii="仿宋_GB2312" w:hAnsi="仿宋_GB2312" w:eastAsia="仿宋_GB2312" w:cs="仿宋_GB2312"/>
          <w:color w:val="auto"/>
          <w:spacing w:val="-6"/>
          <w:kern w:val="2"/>
          <w:sz w:val="32"/>
          <w:szCs w:val="22"/>
          <w:highlight w:val="none"/>
        </w:rPr>
        <w:t>改造地块</w:t>
      </w:r>
      <w:r>
        <w:rPr>
          <w:rFonts w:hint="eastAsia" w:ascii="仿宋_GB2312" w:hAnsi="仿宋_GB2312" w:eastAsia="仿宋_GB2312" w:cs="仿宋_GB2312"/>
          <w:color w:val="auto"/>
          <w:spacing w:val="-6"/>
          <w:kern w:val="2"/>
          <w:sz w:val="32"/>
          <w:szCs w:val="22"/>
          <w:highlight w:val="none"/>
          <w:lang w:eastAsia="zh-CN"/>
        </w:rPr>
        <w:t>不涉及</w:t>
      </w:r>
      <w:r>
        <w:rPr>
          <w:rFonts w:hint="eastAsia" w:ascii="仿宋_GB2312" w:hAnsi="仿宋_GB2312" w:eastAsia="仿宋_GB2312" w:cs="仿宋_GB2312"/>
          <w:color w:val="auto"/>
          <w:spacing w:val="-6"/>
          <w:kern w:val="2"/>
          <w:sz w:val="32"/>
          <w:szCs w:val="22"/>
          <w:highlight w:val="none"/>
        </w:rPr>
        <w:t>闲置、历史文化资源要素等情况</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不属于我市土壤环境潜在监管地块范围内。涉及抵押，正在征求抵押权人意见。</w:t>
      </w:r>
    </w:p>
    <w:p w14:paraId="710885E6">
      <w:pPr>
        <w:pStyle w:val="14"/>
        <w:keepNext w:val="0"/>
        <w:keepLines w:val="0"/>
        <w:pageBreakBefore w:val="0"/>
        <w:numPr>
          <w:ilvl w:val="0"/>
          <w:numId w:val="3"/>
        </w:numPr>
        <w:kinsoku/>
        <w:wordWrap w:val="0"/>
        <w:overflowPunct/>
        <w:topLinePunct w:val="0"/>
        <w:autoSpaceDE/>
        <w:autoSpaceDN/>
        <w:bidi w:val="0"/>
        <w:adjustRightInd/>
        <w:snapToGrid/>
        <w:spacing w:beforeLines="0" w:afterLines="0" w:line="575" w:lineRule="exact"/>
        <w:ind w:firstLine="616" w:firstLineChars="200"/>
        <w:textAlignment w:val="auto"/>
        <w:rPr>
          <w:rFonts w:ascii="楷体_GB2312" w:eastAsia="楷体_GB2312" w:cs="Times New Roman"/>
          <w:spacing w:val="-6"/>
          <w:sz w:val="32"/>
          <w:szCs w:val="32"/>
        </w:rPr>
      </w:pPr>
      <w:r>
        <w:rPr>
          <w:rFonts w:ascii="楷体_GB2312" w:eastAsia="楷体_GB2312" w:cs="Times New Roman"/>
          <w:spacing w:val="-6"/>
          <w:sz w:val="32"/>
          <w:szCs w:val="32"/>
        </w:rPr>
        <w:t>规划情况</w:t>
      </w:r>
    </w:p>
    <w:p w14:paraId="16882F62">
      <w:pPr>
        <w:keepNext w:val="0"/>
        <w:keepLines w:val="0"/>
        <w:pageBreakBefore w:val="0"/>
        <w:kinsoku/>
        <w:wordWrap w:val="0"/>
        <w:overflowPunct/>
        <w:topLinePunct w:val="0"/>
        <w:autoSpaceDE/>
        <w:autoSpaceDN/>
        <w:bidi w:val="0"/>
        <w:adjustRightInd/>
        <w:snapToGrid/>
        <w:spacing w:beforeLines="0" w:afterLines="0" w:line="575" w:lineRule="exact"/>
        <w:ind w:firstLine="616" w:firstLineChars="200"/>
        <w:textAlignment w:val="auto"/>
        <w:outlineLvl w:val="9"/>
        <w:rPr>
          <w:rFonts w:hint="eastAsia" w:ascii="仿宋_GB2312" w:hAnsi="仿宋_GB2312" w:eastAsia="仿宋_GB2312" w:cs="仿宋_GB2312"/>
          <w:bCs w:val="0"/>
          <w:color w:val="auto"/>
          <w:spacing w:val="-6"/>
          <w:kern w:val="2"/>
          <w:sz w:val="32"/>
          <w:szCs w:val="22"/>
          <w:highlight w:val="none"/>
          <w:lang w:val="en-US" w:eastAsia="zh-CN"/>
        </w:rPr>
      </w:pPr>
      <w:r>
        <w:rPr>
          <w:rFonts w:hint="eastAsia" w:ascii="仿宋_GB2312" w:hAnsi="仿宋_GB2312" w:eastAsia="仿宋_GB2312" w:cs="仿宋_GB2312"/>
          <w:bCs w:val="0"/>
          <w:color w:val="auto"/>
          <w:spacing w:val="-6"/>
          <w:kern w:val="2"/>
          <w:sz w:val="32"/>
          <w:szCs w:val="22"/>
          <w:highlight w:val="none"/>
          <w:lang w:val="en-US" w:eastAsia="zh-CN" w:bidi="ar-SA"/>
        </w:rPr>
        <w:t>改造地块符合</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bCs w:val="0"/>
          <w:color w:val="auto"/>
          <w:spacing w:val="-6"/>
          <w:kern w:val="2"/>
          <w:sz w:val="32"/>
          <w:szCs w:val="22"/>
          <w:highlight w:val="none"/>
          <w:lang w:val="en-US" w:eastAsia="zh-CN" w:bidi="ar-SA"/>
        </w:rPr>
        <w:t>、</w:t>
      </w:r>
      <w:r>
        <w:rPr>
          <w:rFonts w:hint="eastAsia" w:ascii="仿宋_GB2312" w:hAnsi="仿宋_GB2312" w:eastAsia="仿宋_GB2312" w:cs="仿宋_GB2312"/>
          <w:color w:val="auto"/>
          <w:spacing w:val="-6"/>
          <w:kern w:val="2"/>
          <w:sz w:val="32"/>
          <w:szCs w:val="22"/>
          <w:highlight w:val="none"/>
          <w:u w:val="none"/>
          <w:lang w:val="en-US" w:eastAsia="zh-CN"/>
        </w:rPr>
        <w:t>经批复规划条件论证</w:t>
      </w:r>
      <w:r>
        <w:rPr>
          <w:rFonts w:hint="eastAsia" w:ascii="仿宋_GB2312" w:hAnsi="仿宋_GB2312" w:eastAsia="仿宋_GB2312" w:cs="仿宋_GB2312"/>
          <w:bCs w:val="0"/>
          <w:color w:val="auto"/>
          <w:spacing w:val="-6"/>
          <w:kern w:val="2"/>
          <w:sz w:val="32"/>
          <w:szCs w:val="22"/>
          <w:highlight w:val="none"/>
          <w:lang w:val="en-US" w:eastAsia="zh-CN" w:bidi="ar-SA"/>
        </w:rPr>
        <w:t>，已纳入《中山市城市更新（“三旧”改造）专项规划（2020-2035）》更新范围。其中，</w:t>
      </w:r>
      <w:r>
        <w:rPr>
          <w:rFonts w:hint="eastAsia" w:ascii="仿宋_GB2312" w:hAnsi="仿宋_GB2312" w:eastAsia="仿宋_GB2312" w:cs="仿宋_GB2312"/>
          <w:color w:val="auto"/>
          <w:spacing w:val="-6"/>
          <w:kern w:val="2"/>
          <w:sz w:val="32"/>
          <w:szCs w:val="22"/>
          <w:highlight w:val="none"/>
          <w:u w:val="none"/>
          <w:lang w:val="en-US" w:eastAsia="zh-CN"/>
        </w:rPr>
        <w:t>在《中山市国土空间总体规划（2021-2035年）》中项目用地范围均已落实建设用地规模；</w:t>
      </w:r>
      <w:r>
        <w:rPr>
          <w:rFonts w:hint="eastAsia" w:ascii="仿宋_GB2312" w:hAnsi="仿宋_GB2312" w:eastAsia="仿宋_GB2312" w:cs="仿宋_GB2312"/>
          <w:bCs w:val="0"/>
          <w:color w:val="auto"/>
          <w:spacing w:val="-6"/>
          <w:kern w:val="2"/>
          <w:sz w:val="32"/>
          <w:szCs w:val="22"/>
          <w:highlight w:val="none"/>
          <w:lang w:val="en-US" w:eastAsia="zh-CN"/>
        </w:rPr>
        <w:t>在《中山市板芙镇工业用地规划条件论证》</w:t>
      </w:r>
      <w:r>
        <w:rPr>
          <w:rFonts w:hint="eastAsia" w:ascii="仿宋_GB2312" w:hAnsi="仿宋_GB2312" w:eastAsia="仿宋_GB2312" w:cs="仿宋_GB2312"/>
          <w:color w:val="auto"/>
          <w:spacing w:val="-6"/>
          <w:kern w:val="2"/>
          <w:sz w:val="32"/>
          <w:szCs w:val="22"/>
          <w:highlight w:val="none"/>
          <w:lang w:val="en-US" w:eastAsia="zh-CN" w:bidi="ar-SA"/>
        </w:rPr>
        <w:t>（</w:t>
      </w:r>
      <w:r>
        <w:rPr>
          <w:rFonts w:hint="eastAsia" w:ascii="仿宋_GB2312" w:hAnsi="仿宋_GB2312" w:eastAsia="仿宋_GB2312" w:cs="仿宋_GB2312"/>
          <w:bCs w:val="0"/>
          <w:color w:val="auto"/>
          <w:spacing w:val="-6"/>
          <w:kern w:val="2"/>
          <w:sz w:val="32"/>
          <w:szCs w:val="22"/>
          <w:highlight w:val="none"/>
          <w:lang w:val="en-US" w:eastAsia="zh-CN"/>
        </w:rPr>
        <w:t>中府函（2022）237号）中，规划为一类工业用地2.1792公顷（21791.80平方米，折合32.69亩）。其中规划一类工业用地容积率1.0-3.5，建筑密度35-60%，绿地率10-15%，建筑限高生产性建筑高度≤50米（特殊工艺除外，配套设施建筑高度≤100米）。</w:t>
      </w:r>
    </w:p>
    <w:p w14:paraId="18CB86D2">
      <w:pPr>
        <w:widowControl/>
        <w:wordWrap w:val="0"/>
        <w:spacing w:beforeLines="0" w:afterLines="0" w:line="575" w:lineRule="exact"/>
        <w:ind w:firstLine="616" w:firstLineChars="200"/>
        <w:jc w:val="left"/>
        <w:outlineLvl w:val="9"/>
        <w:rPr>
          <w:rFonts w:hint="eastAsia" w:ascii="仿宋_GB2312" w:hAnsi="仿宋_GB2312" w:eastAsia="仿宋_GB2312" w:cs="仿宋_GB2312"/>
          <w:color w:val="auto"/>
          <w:spacing w:val="-6"/>
          <w:sz w:val="32"/>
          <w:szCs w:val="22"/>
          <w:highlight w:val="none"/>
        </w:rPr>
      </w:pPr>
      <w:r>
        <w:rPr>
          <w:rFonts w:hint="eastAsia" w:ascii="仿宋_GB2312" w:hAnsi="仿宋_GB2312" w:eastAsia="仿宋_GB2312" w:cs="仿宋_GB2312"/>
          <w:color w:val="auto"/>
          <w:spacing w:val="-6"/>
          <w:sz w:val="32"/>
          <w:szCs w:val="22"/>
          <w:highlight w:val="none"/>
        </w:rPr>
        <w:t>改造项目位于城镇开发边界内，不涉及永久基本农田、生态保护红线等管控要求。</w:t>
      </w:r>
    </w:p>
    <w:p w14:paraId="67B7C636">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eastAsia="黑体"/>
          <w:spacing w:val="-6"/>
          <w:kern w:val="28"/>
          <w:sz w:val="32"/>
          <w:szCs w:val="32"/>
        </w:rPr>
      </w:pPr>
      <w:r>
        <w:rPr>
          <w:rStyle w:val="13"/>
          <w:rFonts w:eastAsia="黑体" w:asciiTheme="minorHAnsi" w:hAnsiTheme="minorHAnsi" w:cstheme="minorBidi"/>
          <w:spacing w:val="-6"/>
          <w:kern w:val="28"/>
          <w:sz w:val="32"/>
          <w:szCs w:val="32"/>
        </w:rPr>
        <w:t>改造意愿及补偿情况</w:t>
      </w:r>
    </w:p>
    <w:p w14:paraId="0E7C40A3">
      <w:pPr>
        <w:wordWrap/>
        <w:spacing w:beforeLines="0" w:afterLines="0" w:line="575" w:lineRule="exact"/>
        <w:ind w:firstLine="616" w:firstLineChars="200"/>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sz w:val="32"/>
          <w:szCs w:val="22"/>
          <w:highlight w:val="none"/>
          <w:lang w:eastAsia="zh-CN"/>
        </w:rPr>
        <w:t>改造范围涉及</w:t>
      </w:r>
      <w:r>
        <w:rPr>
          <w:rFonts w:hint="eastAsia" w:ascii="仿宋_GB2312" w:hAnsi="仿宋_GB2312" w:eastAsia="仿宋_GB2312" w:cs="仿宋_GB2312"/>
          <w:i w:val="0"/>
          <w:iCs w:val="0"/>
          <w:caps w:val="0"/>
          <w:color w:val="auto"/>
          <w:spacing w:val="-6"/>
          <w:kern w:val="2"/>
          <w:sz w:val="32"/>
          <w:szCs w:val="22"/>
          <w:highlight w:val="none"/>
          <w:shd w:val="clear"/>
        </w:rPr>
        <w:t>梁锦华</w:t>
      </w:r>
      <w:r>
        <w:rPr>
          <w:rFonts w:hint="eastAsia" w:ascii="仿宋_GB2312" w:hAnsi="仿宋_GB2312" w:eastAsia="仿宋_GB2312" w:cs="仿宋_GB2312"/>
          <w:color w:val="auto"/>
          <w:spacing w:val="-6"/>
          <w:sz w:val="32"/>
          <w:szCs w:val="22"/>
          <w:highlight w:val="none"/>
          <w:lang w:val="en-US" w:eastAsia="zh-CN"/>
        </w:rPr>
        <w:t>一个权利人</w:t>
      </w:r>
      <w:r>
        <w:rPr>
          <w:rFonts w:hint="eastAsia" w:ascii="仿宋_GB2312" w:hAnsi="仿宋_GB2312" w:eastAsia="仿宋_GB2312" w:cs="仿宋_GB2312"/>
          <w:color w:val="auto"/>
          <w:spacing w:val="-6"/>
          <w:sz w:val="32"/>
          <w:szCs w:val="22"/>
          <w:highlight w:val="none"/>
          <w:lang w:eastAsia="zh-CN"/>
        </w:rPr>
        <w:t>，</w:t>
      </w:r>
      <w:r>
        <w:rPr>
          <w:rFonts w:hint="eastAsia" w:ascii="仿宋_GB2312" w:hAnsi="仿宋_GB2312" w:eastAsia="仿宋_GB2312" w:cs="仿宋_GB2312"/>
          <w:color w:val="auto"/>
          <w:spacing w:val="-6"/>
          <w:sz w:val="32"/>
          <w:szCs w:val="22"/>
          <w:highlight w:val="none"/>
          <w:lang w:val="en-US" w:eastAsia="zh-CN"/>
        </w:rPr>
        <w:t>中山市板芙镇人民政府</w:t>
      </w:r>
      <w:r>
        <w:rPr>
          <w:rFonts w:hint="eastAsia" w:ascii="仿宋_GB2312" w:hAnsi="仿宋_GB2312" w:eastAsia="仿宋_GB2312" w:cs="仿宋_GB2312"/>
          <w:color w:val="auto"/>
          <w:spacing w:val="-6"/>
          <w:sz w:val="32"/>
          <w:szCs w:val="22"/>
          <w:highlight w:val="none"/>
          <w:lang w:eastAsia="zh-CN"/>
        </w:rPr>
        <w:t>已按照法律法规，就改造范围、土地现状、改造主体及拟改造情况及标准等事项征询权利人改造</w:t>
      </w:r>
      <w:r>
        <w:rPr>
          <w:rFonts w:hint="eastAsia" w:ascii="仿宋_GB2312" w:hAnsi="仿宋_GB2312" w:eastAsia="仿宋_GB2312" w:cs="仿宋_GB2312"/>
          <w:color w:val="auto"/>
          <w:spacing w:val="-6"/>
          <w:sz w:val="32"/>
          <w:szCs w:val="22"/>
          <w:highlight w:val="none"/>
          <w:lang w:val="en-US" w:eastAsia="zh-CN"/>
        </w:rPr>
        <w:t>意愿</w:t>
      </w:r>
      <w:r>
        <w:rPr>
          <w:rFonts w:hint="eastAsia" w:ascii="仿宋_GB2312" w:hAnsi="仿宋_GB2312" w:eastAsia="仿宋_GB2312" w:cs="仿宋_GB2312"/>
          <w:color w:val="auto"/>
          <w:spacing w:val="-6"/>
          <w:sz w:val="32"/>
          <w:szCs w:val="22"/>
          <w:highlight w:val="none"/>
          <w:lang w:eastAsia="zh-CN"/>
        </w:rPr>
        <w:t>，同意将涉及土地、房屋纳入改造范围。</w:t>
      </w:r>
    </w:p>
    <w:p w14:paraId="13B9E04F">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eastAsia="黑体"/>
          <w:spacing w:val="-6"/>
          <w:kern w:val="28"/>
          <w:sz w:val="32"/>
          <w:szCs w:val="32"/>
        </w:rPr>
      </w:pPr>
      <w:r>
        <w:rPr>
          <w:rStyle w:val="13"/>
          <w:rFonts w:eastAsia="黑体" w:asciiTheme="minorHAnsi" w:hAnsiTheme="minorHAnsi" w:cstheme="minorBidi"/>
          <w:spacing w:val="-6"/>
          <w:kern w:val="28"/>
          <w:sz w:val="32"/>
          <w:szCs w:val="32"/>
        </w:rPr>
        <w:t>改造主体及拟改造情况</w:t>
      </w:r>
    </w:p>
    <w:p w14:paraId="4B2FFFBF">
      <w:pPr>
        <w:keepNext w:val="0"/>
        <w:keepLines w:val="0"/>
        <w:pageBreakBefore w:val="0"/>
        <w:kinsoku/>
        <w:wordWrap/>
        <w:overflowPunct/>
        <w:topLinePunct w:val="0"/>
        <w:autoSpaceDE/>
        <w:autoSpaceDN/>
        <w:bidi w:val="0"/>
        <w:adjustRightInd/>
        <w:snapToGrid/>
        <w:spacing w:beforeLines="0" w:afterLines="0" w:line="575" w:lineRule="exact"/>
        <w:ind w:right="0" w:rightChars="0" w:firstLine="616" w:firstLineChars="200"/>
        <w:outlineLvl w:val="9"/>
        <w:rPr>
          <w:rFonts w:hint="eastAsia" w:ascii="仿宋_GB2312" w:hAnsi="仿宋_GB2312" w:eastAsia="仿宋_GB2312" w:cs="仿宋_GB2312"/>
          <w:color w:val="auto"/>
          <w:spacing w:val="-6"/>
          <w:kern w:val="2"/>
          <w:sz w:val="32"/>
          <w:szCs w:val="22"/>
          <w:highlight w:val="none"/>
          <w:lang w:val="en-US" w:eastAsia="zh-CN" w:bidi="ar-SA"/>
        </w:rPr>
      </w:pPr>
      <w:r>
        <w:rPr>
          <w:rFonts w:hint="eastAsia" w:ascii="仿宋_GB2312" w:hAnsi="仿宋_GB2312" w:eastAsia="仿宋_GB2312" w:cs="仿宋_GB2312"/>
          <w:color w:val="auto"/>
          <w:spacing w:val="-6"/>
          <w:kern w:val="2"/>
          <w:sz w:val="32"/>
          <w:szCs w:val="22"/>
          <w:highlight w:val="none"/>
          <w:lang w:val="en-US" w:eastAsia="zh-CN" w:bidi="ar-SA"/>
        </w:rPr>
        <w:t>根据有关规划要求，改造项目严格按照</w:t>
      </w:r>
      <w:r>
        <w:rPr>
          <w:rFonts w:hint="eastAsia" w:ascii="仿宋_GB2312" w:hAnsi="仿宋_GB2312" w:eastAsia="仿宋_GB2312" w:cs="仿宋_GB2312"/>
          <w:color w:val="auto"/>
          <w:spacing w:val="-6"/>
          <w:kern w:val="2"/>
          <w:sz w:val="32"/>
          <w:szCs w:val="22"/>
          <w:highlight w:val="none"/>
          <w:u w:val="none"/>
          <w:lang w:val="en-US" w:eastAsia="zh-CN"/>
        </w:rPr>
        <w:t>国土空间总体规划</w:t>
      </w:r>
      <w:r>
        <w:rPr>
          <w:rFonts w:hint="eastAsia" w:ascii="仿宋_GB2312" w:hAnsi="仿宋_GB2312" w:eastAsia="仿宋_GB2312" w:cs="仿宋_GB2312"/>
          <w:color w:val="auto"/>
          <w:spacing w:val="-6"/>
          <w:kern w:val="2"/>
          <w:sz w:val="32"/>
          <w:szCs w:val="22"/>
          <w:highlight w:val="none"/>
          <w:lang w:val="en-US" w:eastAsia="zh-CN" w:bidi="ar-SA"/>
        </w:rPr>
        <w:t>、《中山市板芙镇工业用地规划条件论证》（</w:t>
      </w:r>
      <w:r>
        <w:rPr>
          <w:rFonts w:hint="eastAsia" w:ascii="仿宋_GB2312" w:hAnsi="仿宋_GB2312" w:eastAsia="仿宋_GB2312" w:cs="仿宋_GB2312"/>
          <w:bCs w:val="0"/>
          <w:color w:val="auto"/>
          <w:spacing w:val="-6"/>
          <w:kern w:val="2"/>
          <w:sz w:val="32"/>
          <w:szCs w:val="22"/>
          <w:highlight w:val="none"/>
          <w:lang w:val="en-US" w:eastAsia="zh-CN"/>
        </w:rPr>
        <w:t>中府函（2022）237号）</w:t>
      </w:r>
      <w:r>
        <w:rPr>
          <w:rFonts w:hint="eastAsia" w:ascii="仿宋_GB2312" w:hAnsi="仿宋_GB2312" w:eastAsia="仿宋_GB2312" w:cs="仿宋_GB2312"/>
          <w:color w:val="auto"/>
          <w:spacing w:val="-6"/>
          <w:kern w:val="2"/>
          <w:sz w:val="32"/>
          <w:szCs w:val="22"/>
          <w:highlight w:val="none"/>
          <w:lang w:val="en-US" w:eastAsia="zh-CN" w:bidi="ar-SA"/>
        </w:rPr>
        <w:t>管控要求实施建设。</w:t>
      </w:r>
    </w:p>
    <w:p w14:paraId="73599556">
      <w:pPr>
        <w:keepNext w:val="0"/>
        <w:keepLines w:val="0"/>
        <w:pageBreakBefore w:val="0"/>
        <w:kinsoku/>
        <w:wordWrap/>
        <w:overflowPunct/>
        <w:topLinePunct w:val="0"/>
        <w:autoSpaceDE/>
        <w:autoSpaceDN/>
        <w:bidi w:val="0"/>
        <w:adjustRightInd/>
        <w:snapToGrid/>
        <w:spacing w:beforeLines="0" w:afterLines="0" w:line="575" w:lineRule="exact"/>
        <w:ind w:right="0" w:rightChars="0" w:firstLine="616" w:firstLineChars="200"/>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bidi="ar-SA"/>
        </w:rPr>
        <w:t>该改造项目属“工改工”宗地项目，拟采取权利人自主改造方式，由</w:t>
      </w:r>
      <w:r>
        <w:rPr>
          <w:rFonts w:hint="eastAsia" w:ascii="仿宋_GB2312" w:hAnsi="仿宋_GB2312" w:eastAsia="仿宋_GB2312" w:cs="仿宋_GB2312"/>
          <w:i w:val="0"/>
          <w:iCs w:val="0"/>
          <w:caps w:val="0"/>
          <w:color w:val="auto"/>
          <w:spacing w:val="-6"/>
          <w:kern w:val="2"/>
          <w:sz w:val="32"/>
          <w:szCs w:val="22"/>
          <w:highlight w:val="none"/>
          <w:shd w:val="clear"/>
        </w:rPr>
        <w:t>梁锦华</w:t>
      </w:r>
      <w:r>
        <w:rPr>
          <w:rFonts w:hint="eastAsia" w:ascii="仿宋_GB2312" w:hAnsi="仿宋_GB2312" w:eastAsia="仿宋_GB2312" w:cs="仿宋_GB2312"/>
          <w:color w:val="auto"/>
          <w:spacing w:val="-6"/>
          <w:kern w:val="2"/>
          <w:sz w:val="32"/>
          <w:szCs w:val="22"/>
          <w:highlight w:val="none"/>
          <w:lang w:val="en-US" w:eastAsia="zh-CN" w:bidi="ar-SA"/>
        </w:rPr>
        <w:t>作为改造主体，实施局部改造。</w:t>
      </w:r>
      <w:r>
        <w:rPr>
          <w:rFonts w:hint="eastAsia" w:ascii="仿宋_GB2312" w:hAnsi="仿宋_GB2312" w:eastAsia="仿宋_GB2312" w:cs="仿宋_GB2312"/>
          <w:color w:val="auto"/>
          <w:spacing w:val="-6"/>
          <w:sz w:val="32"/>
          <w:szCs w:val="22"/>
          <w:highlight w:val="none"/>
          <w:lang w:val="en-US" w:eastAsia="zh-CN"/>
        </w:rPr>
        <w:t>改造后将用于工业用途，引入</w:t>
      </w:r>
      <w:r>
        <w:rPr>
          <w:rFonts w:hint="eastAsia" w:ascii="仿宋_GB2312" w:hAnsi="仿宋_GB2312" w:eastAsia="仿宋_GB2312" w:cs="仿宋_GB2312"/>
          <w:i w:val="0"/>
          <w:iCs w:val="0"/>
          <w:caps w:val="0"/>
          <w:color w:val="auto"/>
          <w:spacing w:val="-6"/>
          <w:sz w:val="32"/>
          <w:szCs w:val="22"/>
          <w:highlight w:val="none"/>
          <w:shd w:val="clear" w:fill="auto"/>
        </w:rPr>
        <w:t>食品生产</w:t>
      </w:r>
      <w:r>
        <w:rPr>
          <w:rFonts w:hint="eastAsia" w:ascii="仿宋_GB2312" w:hAnsi="仿宋_GB2312" w:eastAsia="仿宋_GB2312" w:cs="仿宋_GB2312"/>
          <w:i w:val="0"/>
          <w:iCs w:val="0"/>
          <w:caps w:val="0"/>
          <w:color w:val="auto"/>
          <w:spacing w:val="-6"/>
          <w:sz w:val="32"/>
          <w:szCs w:val="22"/>
          <w:highlight w:val="none"/>
          <w:shd w:val="clear"/>
          <w:lang w:eastAsia="zh-CN"/>
        </w:rPr>
        <w:t>、</w:t>
      </w:r>
      <w:r>
        <w:rPr>
          <w:rFonts w:hint="eastAsia" w:ascii="仿宋_GB2312" w:hAnsi="仿宋_GB2312" w:eastAsia="仿宋_GB2312" w:cs="仿宋_GB2312"/>
          <w:i w:val="0"/>
          <w:iCs w:val="0"/>
          <w:caps w:val="0"/>
          <w:color w:val="auto"/>
          <w:spacing w:val="-6"/>
          <w:sz w:val="32"/>
          <w:szCs w:val="22"/>
          <w:highlight w:val="none"/>
          <w:shd w:val="clear" w:fill="auto"/>
        </w:rPr>
        <w:t>食品销售</w:t>
      </w:r>
      <w:r>
        <w:rPr>
          <w:rFonts w:hint="eastAsia" w:ascii="仿宋_GB2312" w:hAnsi="仿宋_GB2312" w:eastAsia="仿宋_GB2312" w:cs="仿宋_GB2312"/>
          <w:color w:val="auto"/>
          <w:spacing w:val="-6"/>
          <w:sz w:val="32"/>
          <w:szCs w:val="22"/>
          <w:highlight w:val="none"/>
          <w:lang w:val="en-US" w:eastAsia="zh-CN"/>
        </w:rPr>
        <w:t>产业，在符合经批复规划条件论证的基础上，容积率不小于2.06，总建筑面积不少于45313.00平方米，其中计容建筑面积44816.20平方米，不计容建筑面积496.80平方米，新建建筑面积31518.80平方米，保留建筑面积13794.20平方米。</w:t>
      </w:r>
    </w:p>
    <w:p w14:paraId="76E69951">
      <w:pPr>
        <w:keepNext w:val="0"/>
        <w:keepLines w:val="0"/>
        <w:pageBreakBefore w:val="0"/>
        <w:kinsoku/>
        <w:wordWrap/>
        <w:overflowPunct/>
        <w:topLinePunct w:val="0"/>
        <w:autoSpaceDE/>
        <w:autoSpaceDN/>
        <w:bidi w:val="0"/>
        <w:adjustRightInd/>
        <w:snapToGrid/>
        <w:spacing w:beforeLines="0" w:afterLines="0" w:line="575" w:lineRule="exact"/>
        <w:ind w:right="0" w:rightChars="0" w:firstLine="616" w:firstLineChars="200"/>
        <w:outlineLvl w:val="9"/>
        <w:rPr>
          <w:rFonts w:hint="eastAsia" w:ascii="仿宋_GB2312" w:hAnsi="仿宋_GB2312" w:eastAsia="仿宋_GB2312" w:cs="仿宋_GB2312"/>
          <w:color w:val="auto"/>
          <w:spacing w:val="-6"/>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lang w:val="en-US" w:eastAsia="zh-CN" w:bidi="ar-SA"/>
        </w:rPr>
        <w:t>项目相关情况符合</w:t>
      </w:r>
      <w:r>
        <w:rPr>
          <w:rFonts w:hint="eastAsia" w:ascii="仿宋_GB2312" w:hAnsi="仿宋_GB2312" w:eastAsia="仿宋_GB2312" w:cs="仿宋_GB2312"/>
          <w:b w:val="0"/>
          <w:i w:val="0"/>
          <w:iCs w:val="0"/>
          <w:caps w:val="0"/>
          <w:color w:val="auto"/>
          <w:spacing w:val="-6"/>
          <w:kern w:val="2"/>
          <w:sz w:val="32"/>
          <w:szCs w:val="22"/>
          <w:highlight w:val="none"/>
          <w:u w:val="none"/>
          <w:shd w:val="clear" w:color="auto" w:fill="auto"/>
          <w:lang w:val="en-US" w:eastAsia="zh-CN"/>
        </w:rPr>
        <w:t>《产业结构调整指导（2019年本）》</w:t>
      </w:r>
      <w:r>
        <w:rPr>
          <w:rFonts w:hint="eastAsia" w:ascii="仿宋_GB2312" w:hAnsi="仿宋_GB2312" w:eastAsia="仿宋_GB2312" w:cs="仿宋_GB2312"/>
          <w:color w:val="auto"/>
          <w:spacing w:val="-6"/>
          <w:kern w:val="2"/>
          <w:sz w:val="32"/>
          <w:szCs w:val="22"/>
          <w:highlight w:val="none"/>
          <w:lang w:val="en-US" w:eastAsia="zh-CN" w:bidi="ar-SA"/>
        </w:rPr>
        <w:t>《中华人民共和国节约能源法》《公共机构节能条例》和《固定资产投资项目节能审查办法》</w:t>
      </w:r>
      <w:r>
        <w:rPr>
          <w:rFonts w:hint="eastAsia" w:ascii="仿宋_GB2312" w:hAnsi="仿宋_GB2312" w:eastAsia="仿宋_GB2312" w:cs="仿宋_GB2312"/>
          <w:color w:val="auto"/>
          <w:spacing w:val="-6"/>
          <w:sz w:val="32"/>
          <w:szCs w:val="22"/>
          <w:highlight w:val="none"/>
          <w:lang w:val="en-US" w:eastAsia="zh-CN"/>
        </w:rPr>
        <w:t>《中山市“三线一单”生态环境分区管控方案》《中山市涉挥发性有机物项目环保管理规定》</w:t>
      </w:r>
      <w:r>
        <w:rPr>
          <w:rFonts w:hint="eastAsia" w:ascii="仿宋_GB2312" w:hAnsi="仿宋_GB2312" w:eastAsia="仿宋_GB2312" w:cs="仿宋_GB2312"/>
          <w:color w:val="auto"/>
          <w:spacing w:val="-6"/>
          <w:kern w:val="2"/>
          <w:sz w:val="32"/>
          <w:szCs w:val="22"/>
          <w:highlight w:val="none"/>
          <w:lang w:val="en-US" w:eastAsia="zh-CN" w:bidi="ar-SA"/>
        </w:rPr>
        <w:t>等文件相关规定。改造后预计</w:t>
      </w:r>
      <w:r>
        <w:rPr>
          <w:rFonts w:hint="eastAsia" w:ascii="仿宋_GB2312" w:hAnsi="仿宋_GB2312" w:eastAsia="仿宋_GB2312" w:cs="仿宋_GB2312"/>
          <w:color w:val="auto"/>
          <w:spacing w:val="-6"/>
          <w:sz w:val="32"/>
          <w:szCs w:val="22"/>
          <w:highlight w:val="none"/>
          <w:lang w:val="en"/>
        </w:rPr>
        <w:t>年产值</w:t>
      </w:r>
      <w:r>
        <w:rPr>
          <w:rFonts w:hint="eastAsia" w:ascii="仿宋_GB2312" w:hAnsi="仿宋_GB2312" w:eastAsia="仿宋_GB2312" w:cs="仿宋_GB2312"/>
          <w:color w:val="auto"/>
          <w:spacing w:val="-6"/>
          <w:sz w:val="32"/>
          <w:szCs w:val="22"/>
          <w:highlight w:val="none"/>
          <w:lang w:val="en-US" w:eastAsia="zh-CN"/>
        </w:rPr>
        <w:t>达19614万元（约600万元/亩）</w:t>
      </w:r>
      <w:r>
        <w:rPr>
          <w:rFonts w:hint="eastAsia" w:ascii="仿宋_GB2312" w:hAnsi="仿宋_GB2312" w:eastAsia="仿宋_GB2312" w:cs="仿宋_GB2312"/>
          <w:color w:val="auto"/>
          <w:spacing w:val="-6"/>
          <w:sz w:val="32"/>
          <w:szCs w:val="22"/>
          <w:highlight w:val="none"/>
          <w:lang w:val="en"/>
        </w:rPr>
        <w:t>，年税收</w:t>
      </w:r>
      <w:r>
        <w:rPr>
          <w:rFonts w:hint="eastAsia" w:ascii="仿宋_GB2312" w:hAnsi="仿宋_GB2312" w:eastAsia="仿宋_GB2312" w:cs="仿宋_GB2312"/>
          <w:color w:val="auto"/>
          <w:spacing w:val="-6"/>
          <w:sz w:val="32"/>
          <w:szCs w:val="22"/>
          <w:highlight w:val="none"/>
          <w:lang w:val="en-US" w:eastAsia="zh-CN"/>
        </w:rPr>
        <w:t>约980.7万元（约30万元/亩）。</w:t>
      </w:r>
    </w:p>
    <w:p w14:paraId="02FE0A93">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eastAsia="黑体"/>
          <w:spacing w:val="-6"/>
          <w:kern w:val="28"/>
          <w:sz w:val="32"/>
          <w:szCs w:val="32"/>
        </w:rPr>
      </w:pPr>
      <w:r>
        <w:rPr>
          <w:rStyle w:val="13"/>
          <w:rFonts w:eastAsia="黑体" w:asciiTheme="minorHAnsi" w:hAnsiTheme="minorHAnsi" w:cstheme="minorBidi"/>
          <w:spacing w:val="-6"/>
          <w:kern w:val="28"/>
          <w:sz w:val="32"/>
          <w:szCs w:val="32"/>
        </w:rPr>
        <w:t>资金筹措</w:t>
      </w:r>
    </w:p>
    <w:p w14:paraId="704E5E1E">
      <w:pPr>
        <w:keepNext w:val="0"/>
        <w:keepLines w:val="0"/>
        <w:pageBreakBefore w:val="0"/>
        <w:kinsoku/>
        <w:wordWrap/>
        <w:overflowPunct/>
        <w:topLinePunct w:val="0"/>
        <w:autoSpaceDE/>
        <w:autoSpaceDN/>
        <w:bidi w:val="0"/>
        <w:adjustRightInd/>
        <w:snapToGrid/>
        <w:spacing w:beforeLines="0" w:afterLines="0" w:line="575" w:lineRule="exact"/>
        <w:ind w:right="0" w:rightChars="0" w:firstLine="616" w:firstLineChars="200"/>
        <w:outlineLvl w:val="9"/>
        <w:rPr>
          <w:rFonts w:hint="eastAsia" w:ascii="仿宋_GB2312" w:hAnsi="仿宋_GB2312" w:eastAsia="仿宋_GB2312" w:cs="仿宋_GB2312"/>
          <w:color w:val="auto"/>
          <w:spacing w:val="-6"/>
          <w:kern w:val="2"/>
          <w:sz w:val="32"/>
          <w:szCs w:val="22"/>
          <w:highlight w:val="none"/>
          <w:lang w:eastAsia="zh-CN"/>
        </w:rPr>
      </w:pPr>
      <w:r>
        <w:rPr>
          <w:rFonts w:hint="eastAsia" w:ascii="仿宋_GB2312" w:hAnsi="仿宋_GB2312" w:eastAsia="仿宋_GB2312" w:cs="仿宋_GB2312"/>
          <w:color w:val="auto"/>
          <w:spacing w:val="-6"/>
          <w:kern w:val="2"/>
          <w:sz w:val="32"/>
          <w:szCs w:val="22"/>
          <w:highlight w:val="none"/>
          <w:lang w:val="en-US" w:eastAsia="zh-CN" w:bidi="ar-SA"/>
        </w:rPr>
        <w:t>改造项目拟</w:t>
      </w:r>
      <w:r>
        <w:rPr>
          <w:rFonts w:hint="eastAsia" w:ascii="仿宋_GB2312" w:hAnsi="仿宋_GB2312" w:eastAsia="仿宋_GB2312" w:cs="仿宋_GB2312"/>
          <w:color w:val="auto"/>
          <w:spacing w:val="-6"/>
          <w:kern w:val="2"/>
          <w:sz w:val="32"/>
          <w:szCs w:val="22"/>
          <w:highlight w:val="none"/>
        </w:rPr>
        <w:t>由改造主体拟投入资金</w:t>
      </w:r>
      <w:r>
        <w:rPr>
          <w:rFonts w:hint="eastAsia" w:ascii="仿宋_GB2312" w:hAnsi="仿宋_GB2312" w:eastAsia="仿宋_GB2312" w:cs="仿宋_GB2312"/>
          <w:color w:val="auto"/>
          <w:spacing w:val="-6"/>
          <w:kern w:val="2"/>
          <w:sz w:val="32"/>
          <w:szCs w:val="22"/>
          <w:highlight w:val="none"/>
          <w:lang w:val="en-US" w:eastAsia="zh-CN" w:bidi="ar-SA"/>
        </w:rPr>
        <w:t>7800</w:t>
      </w:r>
      <w:r>
        <w:rPr>
          <w:rFonts w:hint="eastAsia" w:ascii="仿宋_GB2312" w:hAnsi="仿宋_GB2312" w:eastAsia="仿宋_GB2312" w:cs="仿宋_GB2312"/>
          <w:color w:val="auto"/>
          <w:spacing w:val="-6"/>
          <w:kern w:val="2"/>
          <w:sz w:val="32"/>
          <w:szCs w:val="22"/>
          <w:highlight w:val="none"/>
        </w:rPr>
        <w:t>万元</w:t>
      </w:r>
      <w:r>
        <w:rPr>
          <w:rFonts w:hint="eastAsia" w:ascii="仿宋_GB2312" w:hAnsi="仿宋_GB2312" w:eastAsia="仿宋_GB2312" w:cs="仿宋_GB2312"/>
          <w:color w:val="auto"/>
          <w:spacing w:val="-6"/>
          <w:kern w:val="2"/>
          <w:sz w:val="32"/>
          <w:szCs w:val="22"/>
          <w:highlight w:val="none"/>
          <w:lang w:eastAsia="zh-CN"/>
        </w:rPr>
        <w:t>，</w:t>
      </w:r>
      <w:r>
        <w:rPr>
          <w:rFonts w:hint="eastAsia" w:ascii="仿宋_GB2312" w:hAnsi="仿宋_GB2312" w:eastAsia="仿宋_GB2312" w:cs="仿宋_GB2312"/>
          <w:color w:val="auto"/>
          <w:spacing w:val="-6"/>
          <w:kern w:val="2"/>
          <w:sz w:val="32"/>
          <w:szCs w:val="22"/>
          <w:highlight w:val="none"/>
          <w:lang w:val="en-US" w:eastAsia="zh-CN" w:bidi="ar-SA"/>
        </w:rPr>
        <w:t>资金筹措方式为自有资金与银行借贷结合。其中自有资金3900万元，银行借贷3900万元，</w:t>
      </w:r>
      <w:r>
        <w:rPr>
          <w:rFonts w:hint="eastAsia" w:ascii="仿宋_GB2312" w:hAnsi="仿宋_GB2312" w:eastAsia="仿宋_GB2312" w:cs="仿宋_GB2312"/>
          <w:color w:val="auto"/>
          <w:spacing w:val="-6"/>
          <w:kern w:val="2"/>
          <w:sz w:val="32"/>
          <w:szCs w:val="22"/>
          <w:highlight w:val="none"/>
          <w:lang w:val="en-US" w:eastAsia="zh-CN"/>
        </w:rPr>
        <w:t>具体以资金筹措的实际情况为准</w:t>
      </w:r>
      <w:r>
        <w:rPr>
          <w:rFonts w:hint="eastAsia" w:ascii="仿宋_GB2312" w:hAnsi="仿宋_GB2312" w:eastAsia="仿宋_GB2312" w:cs="仿宋_GB2312"/>
          <w:color w:val="auto"/>
          <w:spacing w:val="-6"/>
          <w:kern w:val="2"/>
          <w:sz w:val="32"/>
          <w:szCs w:val="22"/>
          <w:highlight w:val="none"/>
        </w:rPr>
        <w:t>。</w:t>
      </w:r>
    </w:p>
    <w:p w14:paraId="2E8BC2D6">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eastAsia="黑体"/>
          <w:spacing w:val="-6"/>
          <w:kern w:val="28"/>
          <w:sz w:val="32"/>
          <w:szCs w:val="32"/>
        </w:rPr>
      </w:pPr>
      <w:r>
        <w:rPr>
          <w:rStyle w:val="13"/>
          <w:rFonts w:eastAsia="黑体" w:asciiTheme="minorHAnsi" w:hAnsiTheme="minorHAnsi" w:cstheme="minorBidi"/>
          <w:spacing w:val="-6"/>
          <w:kern w:val="28"/>
          <w:sz w:val="32"/>
          <w:szCs w:val="32"/>
        </w:rPr>
        <w:t>开发时序</w:t>
      </w:r>
    </w:p>
    <w:p w14:paraId="44C44142">
      <w:pPr>
        <w:shd w:val="clear"/>
        <w:spacing w:beforeLines="-2147483648" w:afterLines="-2147483648" w:line="574" w:lineRule="exact"/>
        <w:ind w:firstLine="616" w:firstLineChars="200"/>
        <w:outlineLvl w:val="9"/>
        <w:rPr>
          <w:rFonts w:hint="eastAsia" w:ascii="仿宋_GB2312" w:hAnsi="仿宋_GB2312" w:eastAsia="仿宋_GB2312" w:cs="仿宋_GB2312"/>
          <w:color w:val="FF0000"/>
          <w:spacing w:val="-6"/>
          <w:sz w:val="32"/>
          <w:szCs w:val="22"/>
          <w:highlight w:val="none"/>
          <w:lang w:eastAsia="zh-CN"/>
        </w:rPr>
      </w:pPr>
      <w:r>
        <w:rPr>
          <w:rFonts w:hint="eastAsia" w:ascii="仿宋_GB2312" w:hAnsi="仿宋_GB2312" w:eastAsia="仿宋_GB2312" w:cs="仿宋_GB2312"/>
          <w:spacing w:val="-6"/>
          <w:kern w:val="0"/>
          <w:sz w:val="32"/>
          <w:szCs w:val="32"/>
          <w:lang w:eastAsia="zh-CN"/>
        </w:rPr>
        <w:t>项目</w:t>
      </w:r>
      <w:r>
        <w:rPr>
          <w:rFonts w:hint="eastAsia" w:ascii="仿宋_GB2312" w:hAnsi="仿宋_GB2312" w:eastAsia="仿宋_GB2312" w:cs="仿宋_GB2312"/>
          <w:spacing w:val="-6"/>
          <w:kern w:val="0"/>
          <w:sz w:val="32"/>
          <w:szCs w:val="32"/>
        </w:rPr>
        <w:t>开发时间为</w:t>
      </w:r>
      <w:r>
        <w:rPr>
          <w:rFonts w:hint="eastAsia" w:ascii="仿宋_GB2312" w:hAnsi="仿宋_GB2312" w:eastAsia="仿宋_GB2312" w:cs="仿宋_GB2312"/>
          <w:spacing w:val="-6"/>
          <w:kern w:val="0"/>
          <w:sz w:val="32"/>
          <w:szCs w:val="32"/>
          <w:lang w:eastAsia="zh-CN"/>
        </w:rPr>
        <w:t>自方案批复之日起</w:t>
      </w:r>
      <w:r>
        <w:rPr>
          <w:rFonts w:hint="eastAsia" w:ascii="仿宋_GB2312" w:hAnsi="仿宋_GB2312" w:eastAsia="仿宋_GB2312" w:cs="仿宋_GB2312"/>
          <w:spacing w:val="-6"/>
          <w:kern w:val="0"/>
          <w:sz w:val="32"/>
          <w:szCs w:val="32"/>
          <w:lang w:val="en-US" w:eastAsia="zh-CN"/>
        </w:rPr>
        <w:t>1年内动</w:t>
      </w:r>
      <w:r>
        <w:rPr>
          <w:rFonts w:hint="eastAsia" w:ascii="仿宋_GB2312" w:hAnsi="仿宋_GB2312" w:eastAsia="仿宋_GB2312" w:cs="仿宋_GB2312"/>
          <w:spacing w:val="-6"/>
          <w:kern w:val="0"/>
          <w:sz w:val="32"/>
          <w:szCs w:val="32"/>
          <w:lang w:eastAsia="zh-CN"/>
        </w:rPr>
        <w:t>工</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eastAsia="zh-CN"/>
        </w:rPr>
        <w:t>自开工之日起</w:t>
      </w:r>
      <w:r>
        <w:rPr>
          <w:rFonts w:hint="eastAsia" w:ascii="仿宋_GB2312" w:hAnsi="仿宋_GB2312" w:eastAsia="仿宋_GB2312" w:cs="仿宋_GB2312"/>
          <w:spacing w:val="-6"/>
          <w:kern w:val="0"/>
          <w:sz w:val="32"/>
          <w:szCs w:val="32"/>
          <w:lang w:val="en-US" w:eastAsia="zh-CN"/>
        </w:rPr>
        <w:t>2.5年内竣工，</w:t>
      </w:r>
      <w:r>
        <w:rPr>
          <w:rFonts w:hint="eastAsia" w:ascii="仿宋_GB2312" w:hAnsi="仿宋_GB2312" w:eastAsia="仿宋_GB2312" w:cs="仿宋_GB2312"/>
          <w:color w:val="auto"/>
          <w:spacing w:val="-6"/>
          <w:kern w:val="0"/>
          <w:sz w:val="32"/>
          <w:szCs w:val="32"/>
          <w:u w:val="none"/>
          <w:lang w:eastAsia="zh-CN"/>
        </w:rPr>
        <w:t>主要实施建设工业厂房。</w:t>
      </w:r>
    </w:p>
    <w:p w14:paraId="7A80E604">
      <w:pPr>
        <w:spacing w:beforeLines="0" w:afterLines="0" w:line="575" w:lineRule="exact"/>
        <w:ind w:firstLine="616" w:firstLineChars="200"/>
        <w:outlineLvl w:val="9"/>
        <w:rPr>
          <w:rFonts w:hint="eastAsia" w:ascii="仿宋_GB2312" w:hAnsi="仿宋_GB2312" w:eastAsia="仿宋_GB2312" w:cs="仿宋_GB2312"/>
          <w:color w:val="auto"/>
          <w:spacing w:val="-6"/>
          <w:kern w:val="2"/>
          <w:sz w:val="32"/>
          <w:szCs w:val="22"/>
          <w:highlight w:val="none"/>
          <w:lang w:val="en-US" w:eastAsia="zh-CN"/>
        </w:rPr>
      </w:pPr>
      <w:r>
        <w:rPr>
          <w:rFonts w:hint="eastAsia" w:ascii="仿宋_GB2312" w:hAnsi="仿宋_GB2312" w:eastAsia="仿宋_GB2312" w:cs="仿宋_GB2312"/>
          <w:color w:val="auto"/>
          <w:spacing w:val="-6"/>
          <w:kern w:val="2"/>
          <w:sz w:val="32"/>
          <w:szCs w:val="22"/>
          <w:highlight w:val="none"/>
        </w:rPr>
        <w:t>各期具体拟建建筑面积在满足控制性详细规划管控和改造方案的前提下，以最终实际报建方案为准。</w:t>
      </w:r>
    </w:p>
    <w:p w14:paraId="63279E16">
      <w:pPr>
        <w:pStyle w:val="12"/>
        <w:keepNext w:val="0"/>
        <w:keepLines w:val="0"/>
        <w:pageBreakBefore w:val="0"/>
        <w:numPr>
          <w:ilvl w:val="0"/>
          <w:numId w:val="1"/>
        </w:numPr>
        <w:kinsoku/>
        <w:wordWrap w:val="0"/>
        <w:overflowPunct/>
        <w:topLinePunct w:val="0"/>
        <w:autoSpaceDE/>
        <w:autoSpaceDN/>
        <w:bidi w:val="0"/>
        <w:adjustRightInd/>
        <w:snapToGrid/>
        <w:spacing w:before="0" w:beforeLines="0" w:after="0" w:afterLines="0" w:line="575" w:lineRule="exact"/>
        <w:ind w:left="0" w:leftChars="0" w:right="0" w:rightChars="0" w:firstLine="616" w:firstLineChars="200"/>
        <w:outlineLvl w:val="0"/>
        <w:rPr>
          <w:rStyle w:val="13"/>
          <w:rFonts w:hint="eastAsia" w:eastAsia="黑体"/>
          <w:spacing w:val="-6"/>
          <w:kern w:val="28"/>
          <w:sz w:val="32"/>
          <w:szCs w:val="32"/>
        </w:rPr>
      </w:pPr>
      <w:r>
        <w:rPr>
          <w:rStyle w:val="13"/>
          <w:rFonts w:hint="eastAsia" w:eastAsia="黑体" w:asciiTheme="minorHAnsi" w:hAnsiTheme="minorHAnsi" w:cstheme="minorBidi"/>
          <w:spacing w:val="-6"/>
          <w:kern w:val="28"/>
          <w:sz w:val="32"/>
          <w:szCs w:val="32"/>
        </w:rPr>
        <w:t>实施监管</w:t>
      </w:r>
    </w:p>
    <w:p w14:paraId="40CAD32B">
      <w:pPr>
        <w:widowControl/>
        <w:wordWrap/>
        <w:spacing w:beforeLines="0" w:afterLines="0" w:line="575" w:lineRule="exact"/>
        <w:ind w:firstLine="616" w:firstLineChars="200"/>
      </w:pPr>
      <w:r>
        <w:rPr>
          <w:rFonts w:hint="eastAsia" w:ascii="仿宋_GB2312" w:hAnsi="仿宋_GB2312" w:eastAsia="仿宋_GB2312" w:cs="仿宋_GB2312"/>
          <w:color w:val="auto"/>
          <w:spacing w:val="-6"/>
          <w:sz w:val="32"/>
          <w:szCs w:val="22"/>
          <w:highlight w:val="none"/>
          <w:lang w:val="en-US" w:eastAsia="zh-CN"/>
        </w:rPr>
        <w:t>改造主体应按与板芙镇政府签订的项目实施监管协议约定实施改造，具体详见板芙镇人民政府与改造主体签订的项目实施监管协议。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4435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A02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BA020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64A4"/>
    <w:multiLevelType w:val="singleLevel"/>
    <w:tmpl w:val="AD6964A4"/>
    <w:lvl w:ilvl="0" w:tentative="0">
      <w:start w:val="4"/>
      <w:numFmt w:val="chineseCounting"/>
      <w:suff w:val="nothing"/>
      <w:lvlText w:val="（%1）"/>
      <w:lvlJc w:val="left"/>
      <w:rPr>
        <w:rFonts w:hint="eastAsia"/>
      </w:rPr>
    </w:lvl>
  </w:abstractNum>
  <w:abstractNum w:abstractNumId="1">
    <w:nsid w:val="AF770722"/>
    <w:multiLevelType w:val="singleLevel"/>
    <w:tmpl w:val="AF770722"/>
    <w:lvl w:ilvl="0" w:tentative="0">
      <w:start w:val="1"/>
      <w:numFmt w:val="chineseCounting"/>
      <w:suff w:val="nothing"/>
      <w:lvlText w:val="（%1）"/>
      <w:lvlJc w:val="left"/>
      <w:pPr>
        <w:ind w:left="14"/>
      </w:pPr>
      <w:rPr>
        <w:rFonts w:hint="eastAsia"/>
      </w:rPr>
    </w:lvl>
  </w:abstractNum>
  <w:abstractNum w:abstractNumId="2">
    <w:nsid w:val="00000001"/>
    <w:multiLevelType w:val="multilevel"/>
    <w:tmpl w:val="00000001"/>
    <w:lvl w:ilvl="0" w:tentative="0">
      <w:start w:val="1"/>
      <w:numFmt w:val="chineseCountingThousand"/>
      <w:suff w:val="nothing"/>
      <w:lvlText w:val="%1、"/>
      <w:lvlJc w:val="left"/>
      <w:pPr>
        <w:ind w:left="2253" w:hanging="420"/>
      </w:pPr>
    </w:lvl>
    <w:lvl w:ilvl="1" w:tentative="0">
      <w:start w:val="1"/>
      <w:numFmt w:val="lowerLetter"/>
      <w:lvlText w:val="%1)"/>
      <w:lvlJc w:val="left"/>
      <w:pPr>
        <w:ind w:left="1480" w:hanging="420"/>
      </w:pPr>
    </w:lvl>
    <w:lvl w:ilvl="2" w:tentative="0">
      <w:start w:val="1"/>
      <w:numFmt w:val="lowerRoman"/>
      <w:lvlText w:val="%1."/>
      <w:lvlJc w:val="right"/>
      <w:pPr>
        <w:ind w:left="1900" w:hanging="420"/>
      </w:pPr>
    </w:lvl>
    <w:lvl w:ilvl="3" w:tentative="0">
      <w:start w:val="1"/>
      <w:numFmt w:val="decimal"/>
      <w:lvlText w:val="%1."/>
      <w:lvlJc w:val="left"/>
      <w:pPr>
        <w:ind w:left="2320" w:hanging="420"/>
      </w:pPr>
    </w:lvl>
    <w:lvl w:ilvl="4" w:tentative="0">
      <w:start w:val="1"/>
      <w:numFmt w:val="lowerLetter"/>
      <w:lvlText w:val="%1)"/>
      <w:lvlJc w:val="left"/>
      <w:pPr>
        <w:ind w:left="2740" w:hanging="420"/>
      </w:pPr>
    </w:lvl>
    <w:lvl w:ilvl="5" w:tentative="0">
      <w:start w:val="1"/>
      <w:numFmt w:val="lowerRoman"/>
      <w:lvlText w:val="%1."/>
      <w:lvlJc w:val="right"/>
      <w:pPr>
        <w:ind w:left="3160" w:hanging="420"/>
      </w:pPr>
    </w:lvl>
    <w:lvl w:ilvl="6" w:tentative="0">
      <w:start w:val="1"/>
      <w:numFmt w:val="decimal"/>
      <w:lvlText w:val="%1."/>
      <w:lvlJc w:val="left"/>
      <w:pPr>
        <w:ind w:left="3580" w:hanging="420"/>
      </w:pPr>
    </w:lvl>
    <w:lvl w:ilvl="7" w:tentative="0">
      <w:start w:val="1"/>
      <w:numFmt w:val="lowerLetter"/>
      <w:lvlText w:val="%1)"/>
      <w:lvlJc w:val="left"/>
      <w:pPr>
        <w:ind w:left="4000" w:hanging="420"/>
      </w:pPr>
    </w:lvl>
    <w:lvl w:ilvl="8" w:tentative="0">
      <w:start w:val="1"/>
      <w:numFmt w:val="lowerRoman"/>
      <w:lvlText w:val="%1."/>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2I1YzNiOGY5ZmI1NjlkNDAxY2I1YzhjMzA2OGEifQ=="/>
  </w:docVars>
  <w:rsids>
    <w:rsidRoot w:val="403A50EF"/>
    <w:rsid w:val="001C049C"/>
    <w:rsid w:val="0099188B"/>
    <w:rsid w:val="01617998"/>
    <w:rsid w:val="02F11C98"/>
    <w:rsid w:val="03425F66"/>
    <w:rsid w:val="06CA6DF0"/>
    <w:rsid w:val="095D5100"/>
    <w:rsid w:val="0A98548F"/>
    <w:rsid w:val="0ACC2D2E"/>
    <w:rsid w:val="0AFF4706"/>
    <w:rsid w:val="0B1224A9"/>
    <w:rsid w:val="0B6546E2"/>
    <w:rsid w:val="0BCC39AB"/>
    <w:rsid w:val="0C9A1615"/>
    <w:rsid w:val="0D827E53"/>
    <w:rsid w:val="0E97668C"/>
    <w:rsid w:val="0FA47E54"/>
    <w:rsid w:val="10AA5642"/>
    <w:rsid w:val="1113339D"/>
    <w:rsid w:val="112E4B54"/>
    <w:rsid w:val="11E16BF3"/>
    <w:rsid w:val="13623832"/>
    <w:rsid w:val="13C82EE6"/>
    <w:rsid w:val="14C20472"/>
    <w:rsid w:val="15723AF2"/>
    <w:rsid w:val="16210F0C"/>
    <w:rsid w:val="16CE195E"/>
    <w:rsid w:val="17D21828"/>
    <w:rsid w:val="1976672F"/>
    <w:rsid w:val="1A191039"/>
    <w:rsid w:val="1FE07EB9"/>
    <w:rsid w:val="210C787A"/>
    <w:rsid w:val="21843142"/>
    <w:rsid w:val="23D81FBA"/>
    <w:rsid w:val="24DB4BED"/>
    <w:rsid w:val="252171A5"/>
    <w:rsid w:val="26701A1C"/>
    <w:rsid w:val="26F87052"/>
    <w:rsid w:val="289035E9"/>
    <w:rsid w:val="290D6601"/>
    <w:rsid w:val="296F7CA5"/>
    <w:rsid w:val="2A150089"/>
    <w:rsid w:val="2BA156A4"/>
    <w:rsid w:val="2EC90538"/>
    <w:rsid w:val="300674C7"/>
    <w:rsid w:val="32443511"/>
    <w:rsid w:val="329753C8"/>
    <w:rsid w:val="35921FFB"/>
    <w:rsid w:val="35D772E9"/>
    <w:rsid w:val="369D1A89"/>
    <w:rsid w:val="37C96C92"/>
    <w:rsid w:val="37F60FE9"/>
    <w:rsid w:val="38201B23"/>
    <w:rsid w:val="38E36E71"/>
    <w:rsid w:val="39484E09"/>
    <w:rsid w:val="3BA5058C"/>
    <w:rsid w:val="3C3E7FE9"/>
    <w:rsid w:val="3CDF63A6"/>
    <w:rsid w:val="3CE369A3"/>
    <w:rsid w:val="3DF52869"/>
    <w:rsid w:val="3F3F3BAC"/>
    <w:rsid w:val="403A50EF"/>
    <w:rsid w:val="41162EFB"/>
    <w:rsid w:val="41D8574B"/>
    <w:rsid w:val="420B562C"/>
    <w:rsid w:val="42C26089"/>
    <w:rsid w:val="42C718E0"/>
    <w:rsid w:val="434A3AB0"/>
    <w:rsid w:val="449F444F"/>
    <w:rsid w:val="44FC71CE"/>
    <w:rsid w:val="453605EB"/>
    <w:rsid w:val="465B64BB"/>
    <w:rsid w:val="49794E03"/>
    <w:rsid w:val="4A4C4A1D"/>
    <w:rsid w:val="4B06000D"/>
    <w:rsid w:val="4C2371A8"/>
    <w:rsid w:val="4F1C41BA"/>
    <w:rsid w:val="4FD666C2"/>
    <w:rsid w:val="5149559D"/>
    <w:rsid w:val="524C41D8"/>
    <w:rsid w:val="52E930E9"/>
    <w:rsid w:val="544B52FE"/>
    <w:rsid w:val="554A1F61"/>
    <w:rsid w:val="56E968A5"/>
    <w:rsid w:val="574F6291"/>
    <w:rsid w:val="58123252"/>
    <w:rsid w:val="5A4720A8"/>
    <w:rsid w:val="5A840B79"/>
    <w:rsid w:val="5E3065D5"/>
    <w:rsid w:val="5E554FFA"/>
    <w:rsid w:val="5E847237"/>
    <w:rsid w:val="5F070C13"/>
    <w:rsid w:val="62FB2F72"/>
    <w:rsid w:val="63821165"/>
    <w:rsid w:val="66EA76BB"/>
    <w:rsid w:val="68523EAD"/>
    <w:rsid w:val="689877F1"/>
    <w:rsid w:val="68BB3D9E"/>
    <w:rsid w:val="69C01F6D"/>
    <w:rsid w:val="6B1D0578"/>
    <w:rsid w:val="6B506EDE"/>
    <w:rsid w:val="6BA85C1D"/>
    <w:rsid w:val="6D8E489E"/>
    <w:rsid w:val="6E3F0D44"/>
    <w:rsid w:val="6F6B3F43"/>
    <w:rsid w:val="6FC14DE0"/>
    <w:rsid w:val="709550A5"/>
    <w:rsid w:val="70E12F52"/>
    <w:rsid w:val="71615479"/>
    <w:rsid w:val="7420531C"/>
    <w:rsid w:val="74D40030"/>
    <w:rsid w:val="756718BC"/>
    <w:rsid w:val="762B6BB6"/>
    <w:rsid w:val="77686981"/>
    <w:rsid w:val="7854088E"/>
    <w:rsid w:val="79CE109E"/>
    <w:rsid w:val="7CD87E49"/>
    <w:rsid w:val="7D28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toa heading"/>
    <w:next w:val="1"/>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6">
    <w:name w:val="Body Text Indent 2"/>
    <w:basedOn w:val="1"/>
    <w:qFormat/>
    <w:uiPriority w:val="0"/>
    <w:pPr>
      <w:ind w:firstLine="480"/>
    </w:pPr>
    <w:rPr>
      <w:rFonts w:ascii="宋体" w:hAnsi="宋体"/>
      <w:color w:val="00000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UserStyle_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3">
    <w:name w:val="NormalCharacter"/>
    <w:qFormat/>
    <w:uiPriority w:val="0"/>
  </w:style>
  <w:style w:type="paragraph" w:customStyle="1" w:styleId="14">
    <w:name w:val="00正文"/>
    <w:qFormat/>
    <w:uiPriority w:val="0"/>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odyText"/>
    <w:next w:val="17"/>
    <w:qFormat/>
    <w:uiPriority w:val="0"/>
    <w:pPr>
      <w:widowControl w:val="0"/>
      <w:jc w:val="both"/>
      <w:textAlignment w:val="baseline"/>
    </w:pPr>
    <w:rPr>
      <w:rFonts w:ascii="Calibri" w:hAnsi="Calibri" w:eastAsia="宋体" w:cs="Times New Roman"/>
      <w:kern w:val="2"/>
      <w:sz w:val="44"/>
      <w:szCs w:val="24"/>
      <w:lang w:val="en-US" w:eastAsia="zh-CN" w:bidi="ar-SA"/>
    </w:rPr>
  </w:style>
  <w:style w:type="paragraph" w:customStyle="1" w:styleId="17">
    <w:name w:val="TOC5"/>
    <w:next w:val="1"/>
    <w:qFormat/>
    <w:uiPriority w:val="0"/>
    <w:pPr>
      <w:widowControl w:val="0"/>
      <w:ind w:left="1680"/>
      <w:jc w:val="both"/>
      <w:textAlignment w:val="baseline"/>
    </w:pPr>
    <w:rPr>
      <w:rFonts w:ascii="Calibri" w:hAnsi="Calibri"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1685</Words>
  <Characters>1930</Characters>
  <Lines>0</Lines>
  <Paragraphs>0</Paragraphs>
  <TotalTime>93</TotalTime>
  <ScaleCrop>false</ScaleCrop>
  <LinksUpToDate>false</LinksUpToDate>
  <CharactersWithSpaces>1931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2022-09-06T02:02:00Z</dcterms:created>
  <dc:creator>PC</dc:creator>
  <cp:lastModifiedBy>微信用户</cp:lastModifiedBy>
  <cp:lastPrinted>2024-10-24T09:31:00Z</cp:lastPrinted>
  <dcterms:modified xsi:type="dcterms:W3CDTF">2024-10-29T01:20:43Z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836F7620750940E9B70DFD01812FBE24_13</vt:lpwstr>
  </property>
</Properties>
</file>