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AAE7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0"/>
        <w:rPr>
          <w:rFonts w:ascii="Times New Roman" w:hAnsi="Times New Roman" w:eastAsia="方正小标宋简体" w:cs="Times New Roman"/>
          <w:color w:val="auto"/>
          <w:spacing w:val="-6"/>
          <w:kern w:val="0"/>
          <w:sz w:val="44"/>
          <w:szCs w:val="44"/>
          <w:highlight w:val="none"/>
          <w:u w:val="none"/>
        </w:rPr>
      </w:pPr>
      <w:r>
        <w:rPr>
          <w:rFonts w:hint="default" w:ascii="Times New Roman" w:hAnsi="Times New Roman" w:eastAsia="方正小标宋简体" w:cs="Times New Roman"/>
          <w:color w:val="auto"/>
          <w:spacing w:val="-6"/>
          <w:sz w:val="44"/>
          <w:szCs w:val="44"/>
          <w:highlight w:val="none"/>
          <w:u w:val="none"/>
          <w:lang w:val="en-US" w:eastAsia="zh-CN"/>
        </w:rPr>
        <w:t>黄圃</w:t>
      </w:r>
      <w:r>
        <w:rPr>
          <w:rFonts w:hint="default" w:ascii="Times New Roman" w:hAnsi="Times New Roman" w:eastAsia="方正小标宋简体" w:cs="Times New Roman"/>
          <w:color w:val="auto"/>
          <w:spacing w:val="-6"/>
          <w:sz w:val="44"/>
          <w:szCs w:val="44"/>
          <w:highlight w:val="none"/>
          <w:u w:val="none"/>
        </w:rPr>
        <w:t>镇中山市金盈辉科技有限公司“工改工”宗地项目“三旧”改造方案</w:t>
      </w:r>
    </w:p>
    <w:p w14:paraId="592CB16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924" w:firstLineChars="300"/>
        <w:textAlignment w:val="auto"/>
        <w:outlineLvl w:val="9"/>
        <w:rPr>
          <w:rFonts w:ascii="Times New Roman" w:hAnsi="Times New Roman" w:eastAsia="仿宋_GB2312" w:cs="Times New Roman"/>
          <w:color w:val="auto"/>
          <w:spacing w:val="-6"/>
          <w:kern w:val="0"/>
          <w:sz w:val="32"/>
          <w:szCs w:val="32"/>
          <w:highlight w:val="none"/>
        </w:rPr>
      </w:pPr>
    </w:p>
    <w:p w14:paraId="34279D3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根据中山市城市更新（“三旧”改造）专项规划和</w:t>
      </w:r>
      <w:r>
        <w:rPr>
          <w:rFonts w:hint="default" w:ascii="Times New Roman" w:hAnsi="Times New Roman" w:eastAsia="仿宋_GB2312" w:cs="Times New Roman"/>
          <w:color w:val="auto"/>
          <w:spacing w:val="-6"/>
          <w:sz w:val="32"/>
          <w:highlight w:val="none"/>
          <w:lang w:val="en-US" w:eastAsia="zh-CN"/>
        </w:rPr>
        <w:t>单元规划</w:t>
      </w:r>
      <w:r>
        <w:rPr>
          <w:rFonts w:hint="default" w:ascii="Times New Roman" w:hAnsi="Times New Roman" w:eastAsia="仿宋_GB2312" w:cs="Times New Roman"/>
          <w:color w:val="auto"/>
          <w:spacing w:val="-6"/>
          <w:sz w:val="32"/>
          <w:highlight w:val="none"/>
        </w:rPr>
        <w:t>，</w:t>
      </w:r>
      <w:r>
        <w:rPr>
          <w:rFonts w:hint="eastAsia" w:ascii="Times New Roman" w:hAnsi="Times New Roman" w:eastAsia="仿宋_GB2312" w:cs="Times New Roman"/>
          <w:color w:val="auto"/>
          <w:spacing w:val="-6"/>
          <w:sz w:val="32"/>
          <w:highlight w:val="none"/>
          <w:lang w:val="en-US" w:eastAsia="zh-CN"/>
        </w:rPr>
        <w:t>黄圃镇政府</w:t>
      </w:r>
      <w:r>
        <w:rPr>
          <w:rFonts w:hint="default" w:ascii="Times New Roman" w:hAnsi="Times New Roman" w:eastAsia="仿宋_GB2312" w:cs="Times New Roman"/>
          <w:color w:val="auto"/>
          <w:spacing w:val="-6"/>
          <w:sz w:val="32"/>
          <w:highlight w:val="none"/>
        </w:rPr>
        <w:t>拟对位于</w:t>
      </w:r>
      <w:r>
        <w:rPr>
          <w:rFonts w:hint="default" w:ascii="Times New Roman" w:hAnsi="Times New Roman" w:eastAsia="仿宋_GB2312" w:cs="Times New Roman"/>
          <w:color w:val="auto"/>
          <w:spacing w:val="-6"/>
          <w:sz w:val="32"/>
          <w:highlight w:val="none"/>
          <w:lang w:val="en-US" w:eastAsia="zh-CN"/>
        </w:rPr>
        <w:t>黄圃镇新地村</w:t>
      </w:r>
      <w:r>
        <w:rPr>
          <w:rFonts w:hint="default" w:ascii="Times New Roman" w:hAnsi="Times New Roman" w:eastAsia="仿宋_GB2312" w:cs="Times New Roman"/>
          <w:color w:val="auto"/>
          <w:spacing w:val="-6"/>
          <w:sz w:val="32"/>
          <w:highlight w:val="none"/>
        </w:rPr>
        <w:t>的</w:t>
      </w:r>
      <w:r>
        <w:rPr>
          <w:rFonts w:hint="eastAsia" w:ascii="Times New Roman" w:hAnsi="Times New Roman" w:eastAsia="仿宋_GB2312" w:cs="Times New Roman"/>
          <w:color w:val="auto"/>
          <w:spacing w:val="-6"/>
          <w:sz w:val="32"/>
          <w:highlight w:val="none"/>
          <w:lang w:eastAsia="zh-CN"/>
        </w:rPr>
        <w:t>吴桂生、杜燕兰</w:t>
      </w:r>
      <w:r>
        <w:rPr>
          <w:rFonts w:hint="default" w:ascii="Times New Roman" w:hAnsi="Times New Roman" w:eastAsia="仿宋_GB2312" w:cs="Times New Roman"/>
          <w:color w:val="auto"/>
          <w:spacing w:val="-6"/>
          <w:sz w:val="32"/>
          <w:highlight w:val="none"/>
        </w:rPr>
        <w:t>旧厂房用地进行改造，由</w:t>
      </w:r>
      <w:r>
        <w:rPr>
          <w:rFonts w:hint="eastAsia" w:ascii="Times New Roman" w:hAnsi="Times New Roman" w:eastAsia="仿宋_GB2312" w:cs="Times New Roman"/>
          <w:color w:val="auto"/>
          <w:spacing w:val="-6"/>
          <w:sz w:val="32"/>
          <w:highlight w:val="none"/>
          <w:lang w:val="en-US" w:eastAsia="zh-CN"/>
        </w:rPr>
        <w:t>权利人</w:t>
      </w:r>
      <w:r>
        <w:rPr>
          <w:rFonts w:hint="eastAsia" w:ascii="Times New Roman" w:hAnsi="Times New Roman" w:eastAsia="仿宋_GB2312" w:cs="Times New Roman"/>
          <w:color w:val="auto"/>
          <w:spacing w:val="-6"/>
          <w:sz w:val="32"/>
          <w:highlight w:val="none"/>
          <w:lang w:eastAsia="zh-CN"/>
        </w:rPr>
        <w:t>吴桂生、杜燕兰</w:t>
      </w:r>
      <w:r>
        <w:rPr>
          <w:rFonts w:hint="default" w:ascii="Times New Roman" w:hAnsi="Times New Roman" w:eastAsia="仿宋_GB2312" w:cs="Times New Roman"/>
          <w:b w:val="0"/>
          <w:bCs w:val="0"/>
          <w:color w:val="auto"/>
          <w:spacing w:val="-6"/>
          <w:kern w:val="0"/>
          <w:sz w:val="32"/>
          <w:szCs w:val="32"/>
          <w:highlight w:val="none"/>
        </w:rPr>
        <w:t>通过</w:t>
      </w:r>
      <w:r>
        <w:rPr>
          <w:rFonts w:hint="eastAsia" w:ascii="Times New Roman" w:hAnsi="Times New Roman" w:eastAsia="仿宋_GB2312" w:cs="Times New Roman"/>
          <w:b w:val="0"/>
          <w:bCs w:val="0"/>
          <w:color w:val="auto"/>
          <w:spacing w:val="-6"/>
          <w:kern w:val="0"/>
          <w:sz w:val="32"/>
          <w:szCs w:val="32"/>
          <w:highlight w:val="none"/>
          <w:lang w:val="en-US" w:eastAsia="zh-CN"/>
        </w:rPr>
        <w:t>预告登记</w:t>
      </w:r>
      <w:r>
        <w:rPr>
          <w:rFonts w:hint="default" w:ascii="Times New Roman" w:hAnsi="Times New Roman" w:eastAsia="仿宋_GB2312" w:cs="Times New Roman"/>
          <w:b w:val="0"/>
          <w:bCs w:val="0"/>
          <w:color w:val="auto"/>
          <w:spacing w:val="-6"/>
          <w:kern w:val="0"/>
          <w:sz w:val="32"/>
          <w:szCs w:val="32"/>
          <w:highlight w:val="none"/>
        </w:rPr>
        <w:t>方式</w:t>
      </w:r>
      <w:r>
        <w:rPr>
          <w:rFonts w:hint="eastAsia" w:ascii="Times New Roman" w:hAnsi="Times New Roman" w:eastAsia="仿宋_GB2312" w:cs="Times New Roman"/>
          <w:b w:val="0"/>
          <w:bCs w:val="0"/>
          <w:color w:val="auto"/>
          <w:spacing w:val="-6"/>
          <w:kern w:val="0"/>
          <w:sz w:val="32"/>
          <w:szCs w:val="32"/>
          <w:highlight w:val="none"/>
          <w:lang w:val="en-US" w:eastAsia="zh-CN"/>
        </w:rPr>
        <w:t>把改造地块</w:t>
      </w:r>
      <w:r>
        <w:rPr>
          <w:rFonts w:hint="default" w:ascii="Times New Roman" w:hAnsi="Times New Roman" w:eastAsia="仿宋_GB2312" w:cs="Times New Roman"/>
          <w:b w:val="0"/>
          <w:bCs w:val="0"/>
          <w:color w:val="auto"/>
          <w:spacing w:val="-6"/>
          <w:kern w:val="0"/>
          <w:sz w:val="32"/>
          <w:szCs w:val="32"/>
          <w:highlight w:val="none"/>
        </w:rPr>
        <w:t>转移登记到</w:t>
      </w:r>
      <w:r>
        <w:rPr>
          <w:rFonts w:hint="eastAsia" w:ascii="Times New Roman" w:hAnsi="Times New Roman" w:eastAsia="仿宋_GB2312" w:cs="Times New Roman"/>
          <w:b w:val="0"/>
          <w:bCs w:val="0"/>
          <w:color w:val="auto"/>
          <w:spacing w:val="-6"/>
          <w:kern w:val="0"/>
          <w:sz w:val="32"/>
          <w:szCs w:val="32"/>
          <w:highlight w:val="none"/>
          <w:lang w:val="en-US" w:eastAsia="zh-CN"/>
        </w:rPr>
        <w:t>中山市金盈辉科技有限公司实施</w:t>
      </w:r>
      <w:r>
        <w:rPr>
          <w:rFonts w:hint="default" w:ascii="Times New Roman" w:hAnsi="Times New Roman" w:eastAsia="仿宋_GB2312" w:cs="Times New Roman"/>
          <w:color w:val="auto"/>
          <w:spacing w:val="-6"/>
          <w:sz w:val="32"/>
          <w:highlight w:val="none"/>
        </w:rPr>
        <w:t>自行改造，采取全面改造的改造方式。改造方案如下：</w:t>
      </w:r>
    </w:p>
    <w:p w14:paraId="372D071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一、改造地块基本情况</w:t>
      </w:r>
    </w:p>
    <w:p w14:paraId="7A5CC11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（一）总体情况</w:t>
      </w:r>
    </w:p>
    <w:p w14:paraId="028B4972">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改造地块</w:t>
      </w:r>
      <w:r>
        <w:rPr>
          <w:rFonts w:hint="default" w:ascii="Times New Roman" w:hAnsi="Times New Roman" w:eastAsia="仿宋_GB2312" w:cs="Times New Roman"/>
          <w:color w:val="auto"/>
          <w:spacing w:val="-6"/>
          <w:kern w:val="0"/>
          <w:sz w:val="32"/>
          <w:szCs w:val="32"/>
          <w:highlight w:val="none"/>
        </w:rPr>
        <w:t>位于</w:t>
      </w:r>
      <w:r>
        <w:rPr>
          <w:rFonts w:hint="default" w:ascii="Times New Roman" w:hAnsi="Times New Roman" w:eastAsia="仿宋_GB2312" w:cs="Times New Roman"/>
          <w:color w:val="auto"/>
          <w:spacing w:val="-6"/>
          <w:sz w:val="32"/>
          <w:szCs w:val="32"/>
          <w:highlight w:val="none"/>
          <w:lang w:val="en-US" w:eastAsia="zh-CN"/>
        </w:rPr>
        <w:t>黄圃镇新地村</w:t>
      </w:r>
      <w:r>
        <w:rPr>
          <w:rFonts w:hint="default" w:ascii="Times New Roman" w:hAnsi="Times New Roman" w:eastAsia="仿宋_GB2312" w:cs="Times New Roman"/>
          <w:color w:val="auto"/>
          <w:spacing w:val="-6"/>
          <w:sz w:val="32"/>
          <w:szCs w:val="32"/>
          <w:highlight w:val="none"/>
        </w:rPr>
        <w:t>，北至</w:t>
      </w:r>
      <w:r>
        <w:rPr>
          <w:rFonts w:hint="default" w:ascii="Times New Roman" w:hAnsi="Times New Roman" w:eastAsia="仿宋_GB2312" w:cs="Times New Roman"/>
          <w:color w:val="auto"/>
          <w:spacing w:val="-6"/>
          <w:sz w:val="32"/>
          <w:szCs w:val="32"/>
          <w:highlight w:val="none"/>
          <w:lang w:val="en-US" w:eastAsia="zh-CN"/>
        </w:rPr>
        <w:t>刘礼生、刘政韬</w:t>
      </w:r>
      <w:r>
        <w:rPr>
          <w:rFonts w:hint="eastAsia" w:ascii="Times New Roman" w:hAnsi="Times New Roman" w:eastAsia="仿宋_GB2312" w:cs="Times New Roman"/>
          <w:color w:val="auto"/>
          <w:spacing w:val="-6"/>
          <w:sz w:val="32"/>
          <w:szCs w:val="32"/>
          <w:highlight w:val="none"/>
          <w:lang w:val="en-US" w:eastAsia="zh-CN"/>
        </w:rPr>
        <w:t>用地</w:t>
      </w:r>
      <w:r>
        <w:rPr>
          <w:rFonts w:hint="default" w:ascii="Times New Roman" w:hAnsi="Times New Roman" w:eastAsia="仿宋_GB2312" w:cs="Times New Roman"/>
          <w:color w:val="auto"/>
          <w:spacing w:val="-6"/>
          <w:sz w:val="32"/>
          <w:szCs w:val="32"/>
          <w:highlight w:val="none"/>
        </w:rPr>
        <w:t>，南至</w:t>
      </w:r>
      <w:r>
        <w:rPr>
          <w:rFonts w:hint="eastAsia" w:ascii="Times New Roman" w:hAnsi="Times New Roman" w:eastAsia="仿宋_GB2312" w:cs="Times New Roman"/>
          <w:color w:val="auto"/>
          <w:spacing w:val="-6"/>
          <w:sz w:val="32"/>
          <w:szCs w:val="32"/>
          <w:highlight w:val="none"/>
          <w:lang w:val="en-US" w:eastAsia="zh-CN"/>
        </w:rPr>
        <w:t>姚强英用地</w:t>
      </w:r>
      <w:r>
        <w:rPr>
          <w:rFonts w:hint="default" w:ascii="Times New Roman" w:hAnsi="Times New Roman" w:eastAsia="仿宋_GB2312" w:cs="Times New Roman"/>
          <w:color w:val="auto"/>
          <w:spacing w:val="-6"/>
          <w:sz w:val="32"/>
          <w:szCs w:val="32"/>
          <w:highlight w:val="none"/>
        </w:rPr>
        <w:t>，东至</w:t>
      </w:r>
      <w:r>
        <w:rPr>
          <w:rFonts w:hint="eastAsia" w:ascii="Times New Roman" w:hAnsi="Times New Roman" w:eastAsia="仿宋_GB2312" w:cs="Times New Roman"/>
          <w:color w:val="auto"/>
          <w:spacing w:val="-6"/>
          <w:sz w:val="32"/>
          <w:szCs w:val="32"/>
          <w:highlight w:val="none"/>
          <w:lang w:val="en-US" w:eastAsia="zh-CN"/>
        </w:rPr>
        <w:t>新丰南路</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西至道路，</w:t>
      </w:r>
      <w:r>
        <w:rPr>
          <w:rFonts w:hint="default" w:ascii="Times New Roman" w:hAnsi="Times New Roman" w:eastAsia="仿宋_GB2312" w:cs="Times New Roman"/>
          <w:color w:val="auto"/>
          <w:spacing w:val="-6"/>
          <w:sz w:val="32"/>
          <w:szCs w:val="32"/>
          <w:highlight w:val="none"/>
        </w:rPr>
        <w:t>用地面积</w:t>
      </w:r>
      <w:r>
        <w:rPr>
          <w:rFonts w:hint="eastAsia" w:ascii="Times New Roman" w:hAnsi="Times New Roman" w:eastAsia="仿宋_GB2312" w:cs="Times New Roman"/>
          <w:color w:val="auto"/>
          <w:spacing w:val="-6"/>
          <w:sz w:val="32"/>
          <w:szCs w:val="32"/>
          <w:highlight w:val="none"/>
          <w:lang w:val="en-US" w:eastAsia="zh-CN"/>
        </w:rPr>
        <w:t>0.9126公顷（9126平方米，折合约13.689亩）</w:t>
      </w:r>
      <w:r>
        <w:rPr>
          <w:rFonts w:hint="default" w:ascii="Times New Roman" w:hAnsi="Times New Roman" w:eastAsia="仿宋_GB2312" w:cs="Times New Roman"/>
          <w:color w:val="auto"/>
          <w:spacing w:val="-6"/>
          <w:sz w:val="32"/>
          <w:szCs w:val="32"/>
          <w:highlight w:val="none"/>
        </w:rPr>
        <w:t>。</w:t>
      </w:r>
    </w:p>
    <w:p w14:paraId="7661767A">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（二）标图入库情况</w:t>
      </w:r>
    </w:p>
    <w:p w14:paraId="795CEFFF">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ascii="Times New Roman" w:hAnsi="Times New Roman" w:eastAsia="仿宋_GB2312" w:cs="Times New Roman"/>
          <w:color w:val="auto"/>
          <w:spacing w:val="-6"/>
          <w:kern w:val="2"/>
          <w:sz w:val="32"/>
          <w:szCs w:val="32"/>
          <w:highlight w:val="none"/>
        </w:rPr>
      </w:pPr>
      <w:r>
        <w:rPr>
          <w:rFonts w:hint="default" w:ascii="Times New Roman" w:hAnsi="Times New Roman" w:eastAsia="仿宋_GB2312" w:cs="Times New Roman"/>
          <w:color w:val="auto"/>
          <w:spacing w:val="-6"/>
          <w:sz w:val="32"/>
          <w:szCs w:val="32"/>
          <w:highlight w:val="none"/>
        </w:rPr>
        <w:t>改造地块</w:t>
      </w:r>
      <w:r>
        <w:rPr>
          <w:rFonts w:hint="default" w:ascii="Times New Roman" w:hAnsi="Times New Roman" w:eastAsia="仿宋_GB2312" w:cs="Times New Roman"/>
          <w:color w:val="auto"/>
          <w:spacing w:val="-6"/>
          <w:kern w:val="2"/>
          <w:sz w:val="32"/>
          <w:szCs w:val="32"/>
          <w:highlight w:val="none"/>
        </w:rPr>
        <w:t>于</w:t>
      </w:r>
      <w:r>
        <w:rPr>
          <w:rFonts w:hint="default" w:ascii="Times New Roman" w:hAnsi="Times New Roman" w:eastAsia="仿宋_GB2312" w:cs="Times New Roman"/>
          <w:color w:val="auto"/>
          <w:spacing w:val="-6"/>
          <w:kern w:val="2"/>
          <w:sz w:val="32"/>
          <w:szCs w:val="32"/>
          <w:highlight w:val="none"/>
          <w:u w:val="none"/>
          <w:lang w:val="en-US" w:eastAsia="zh-CN"/>
        </w:rPr>
        <w:t>20</w:t>
      </w:r>
      <w:r>
        <w:rPr>
          <w:rFonts w:hint="eastAsia" w:ascii="Times New Roman" w:hAnsi="Times New Roman" w:eastAsia="仿宋_GB2312" w:cs="Times New Roman"/>
          <w:color w:val="auto"/>
          <w:spacing w:val="-6"/>
          <w:kern w:val="2"/>
          <w:sz w:val="32"/>
          <w:szCs w:val="32"/>
          <w:highlight w:val="none"/>
          <w:u w:val="none"/>
          <w:lang w:val="en-US" w:eastAsia="zh-CN"/>
        </w:rPr>
        <w:t>24</w:t>
      </w:r>
      <w:r>
        <w:rPr>
          <w:rFonts w:hint="default" w:ascii="Times New Roman" w:hAnsi="Times New Roman" w:eastAsia="仿宋_GB2312" w:cs="Times New Roman"/>
          <w:color w:val="auto"/>
          <w:spacing w:val="-6"/>
          <w:kern w:val="2"/>
          <w:sz w:val="32"/>
          <w:szCs w:val="32"/>
          <w:highlight w:val="none"/>
        </w:rPr>
        <w:t>年</w:t>
      </w:r>
      <w:r>
        <w:rPr>
          <w:rFonts w:hint="eastAsia" w:ascii="Times New Roman" w:hAnsi="Times New Roman" w:eastAsia="仿宋_GB2312" w:cs="Times New Roman"/>
          <w:color w:val="auto"/>
          <w:spacing w:val="-6"/>
          <w:kern w:val="2"/>
          <w:sz w:val="32"/>
          <w:szCs w:val="32"/>
          <w:highlight w:val="none"/>
          <w:u w:val="none"/>
          <w:lang w:val="en-US" w:eastAsia="zh-CN"/>
        </w:rPr>
        <w:t>6</w:t>
      </w:r>
      <w:r>
        <w:rPr>
          <w:rFonts w:hint="default" w:ascii="Times New Roman" w:hAnsi="Times New Roman" w:eastAsia="仿宋_GB2312" w:cs="Times New Roman"/>
          <w:color w:val="auto"/>
          <w:spacing w:val="-6"/>
          <w:kern w:val="2"/>
          <w:sz w:val="32"/>
          <w:szCs w:val="32"/>
          <w:highlight w:val="none"/>
        </w:rPr>
        <w:t>月</w:t>
      </w:r>
      <w:r>
        <w:rPr>
          <w:rFonts w:hint="eastAsia" w:ascii="Times New Roman" w:hAnsi="Times New Roman" w:eastAsia="仿宋_GB2312" w:cs="Times New Roman"/>
          <w:color w:val="auto"/>
          <w:spacing w:val="-6"/>
          <w:sz w:val="32"/>
          <w:szCs w:val="32"/>
          <w:highlight w:val="none"/>
          <w:lang w:val="en-US" w:eastAsia="zh-CN"/>
        </w:rPr>
        <w:t>已</w:t>
      </w:r>
      <w:r>
        <w:rPr>
          <w:rFonts w:hint="default" w:ascii="Times New Roman" w:hAnsi="Times New Roman" w:eastAsia="仿宋_GB2312" w:cs="Times New Roman"/>
          <w:color w:val="auto"/>
          <w:spacing w:val="-6"/>
          <w:kern w:val="2"/>
          <w:sz w:val="32"/>
          <w:szCs w:val="32"/>
          <w:highlight w:val="none"/>
        </w:rPr>
        <w:t>标图入库，</w:t>
      </w:r>
      <w:r>
        <w:rPr>
          <w:rFonts w:hint="default" w:ascii="Times New Roman" w:hAnsi="Times New Roman" w:eastAsia="仿宋_GB2312" w:cs="Times New Roman"/>
          <w:color w:val="auto"/>
          <w:spacing w:val="-6"/>
          <w:sz w:val="32"/>
          <w:szCs w:val="32"/>
          <w:highlight w:val="none"/>
        </w:rPr>
        <w:t>图斑编号</w:t>
      </w:r>
      <w:r>
        <w:rPr>
          <w:rFonts w:hint="eastAsia" w:ascii="Times New Roman" w:hAnsi="Times New Roman" w:eastAsia="仿宋_GB2312" w:cs="Times New Roman"/>
          <w:color w:val="auto"/>
          <w:spacing w:val="-6"/>
          <w:sz w:val="32"/>
          <w:szCs w:val="32"/>
          <w:highlight w:val="none"/>
          <w:lang w:val="en-US" w:eastAsia="zh-CN"/>
        </w:rPr>
        <w:t>为44200063566</w:t>
      </w:r>
      <w:r>
        <w:rPr>
          <w:rFonts w:hint="default" w:ascii="Times New Roman" w:hAnsi="Times New Roman" w:eastAsia="仿宋_GB2312" w:cs="Times New Roman"/>
          <w:color w:val="auto"/>
          <w:spacing w:val="-6"/>
          <w:sz w:val="32"/>
          <w:szCs w:val="32"/>
          <w:highlight w:val="none"/>
        </w:rPr>
        <w:t>，图斑面积9126平方米，本次改造地块位于该图斑内，纳入本次改造范围</w:t>
      </w:r>
      <w:r>
        <w:rPr>
          <w:rFonts w:hint="default" w:ascii="Times New Roman" w:hAnsi="Times New Roman" w:eastAsia="仿宋_GB2312" w:cs="Times New Roman"/>
          <w:color w:val="auto"/>
          <w:spacing w:val="-6"/>
          <w:sz w:val="32"/>
          <w:szCs w:val="32"/>
          <w:highlight w:val="none"/>
          <w:lang w:val="en-US" w:eastAsia="zh-CN"/>
        </w:rPr>
        <w:t>。</w:t>
      </w:r>
    </w:p>
    <w:p w14:paraId="0BF6149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（三）权属情况</w:t>
      </w:r>
    </w:p>
    <w:p w14:paraId="67317B8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Times New Roman" w:hAnsi="Times New Roman" w:eastAsia="仿宋_GB2312" w:cs="Times New Roman"/>
          <w:color w:val="auto"/>
          <w:spacing w:val="-6"/>
          <w:sz w:val="32"/>
          <w:szCs w:val="32"/>
          <w:highlight w:val="none"/>
        </w:rPr>
      </w:pPr>
      <w:r>
        <w:rPr>
          <w:rFonts w:hint="eastAsia" w:ascii="仿宋_GB2312" w:hAnsi="仿宋_GB2312" w:eastAsia="仿宋_GB2312" w:cs="仿宋_GB2312"/>
          <w:spacing w:val="-6"/>
          <w:sz w:val="32"/>
          <w:szCs w:val="24"/>
          <w:highlight w:val="none"/>
        </w:rPr>
        <w:t>改造范围内全部属国有建设用地，土地用途为工业，改造涉及的土地已经确权、登记</w:t>
      </w:r>
      <w:r>
        <w:rPr>
          <w:rFonts w:hint="eastAsia"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土地使用权</w:t>
      </w:r>
      <w:r>
        <w:rPr>
          <w:rFonts w:hint="eastAsia" w:ascii="Times New Roman" w:hAnsi="Times New Roman" w:eastAsia="仿宋_GB2312" w:cs="Times New Roman"/>
          <w:color w:val="auto"/>
          <w:spacing w:val="-6"/>
          <w:sz w:val="32"/>
          <w:szCs w:val="32"/>
          <w:highlight w:val="none"/>
        </w:rPr>
        <w:t>证号为</w:t>
      </w:r>
      <w:r>
        <w:rPr>
          <w:rFonts w:hint="default" w:ascii="Times New Roman" w:hAnsi="Times New Roman" w:eastAsia="仿宋_GB2312" w:cs="Times New Roman"/>
          <w:color w:val="auto"/>
          <w:spacing w:val="-6"/>
          <w:sz w:val="32"/>
          <w:szCs w:val="32"/>
          <w:highlight w:val="none"/>
        </w:rPr>
        <w:t>中府</w:t>
      </w:r>
      <w:r>
        <w:rPr>
          <w:rFonts w:hint="eastAsia" w:ascii="Times New Roman" w:hAnsi="Times New Roman" w:eastAsia="仿宋_GB2312" w:cs="Times New Roman"/>
          <w:color w:val="auto"/>
          <w:spacing w:val="-6"/>
          <w:sz w:val="32"/>
          <w:szCs w:val="32"/>
          <w:highlight w:val="none"/>
          <w:lang w:val="en-US" w:eastAsia="zh-CN"/>
        </w:rPr>
        <w:t>国用</w:t>
      </w:r>
      <w:r>
        <w:rPr>
          <w:rFonts w:hint="default" w:ascii="Times New Roman" w:hAnsi="Times New Roman" w:eastAsia="仿宋_GB2312" w:cs="Times New Roman"/>
          <w:color w:val="auto"/>
          <w:spacing w:val="-6"/>
          <w:sz w:val="32"/>
          <w:szCs w:val="32"/>
          <w:highlight w:val="none"/>
        </w:rPr>
        <w:t>(20</w:t>
      </w:r>
      <w:r>
        <w:rPr>
          <w:rFonts w:hint="eastAsia" w:ascii="Times New Roman" w:hAnsi="Times New Roman" w:eastAsia="仿宋_GB2312" w:cs="Times New Roman"/>
          <w:color w:val="auto"/>
          <w:spacing w:val="-6"/>
          <w:sz w:val="32"/>
          <w:szCs w:val="32"/>
          <w:highlight w:val="none"/>
          <w:lang w:val="en-US" w:eastAsia="zh-CN"/>
        </w:rPr>
        <w:t>00</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第</w:t>
      </w:r>
      <w:r>
        <w:rPr>
          <w:rFonts w:hint="default" w:ascii="Times New Roman" w:hAnsi="Times New Roman" w:eastAsia="仿宋_GB2312" w:cs="Times New Roman"/>
          <w:color w:val="auto"/>
          <w:spacing w:val="-6"/>
          <w:sz w:val="32"/>
          <w:szCs w:val="32"/>
          <w:highlight w:val="none"/>
        </w:rPr>
        <w:t>01</w:t>
      </w:r>
      <w:r>
        <w:rPr>
          <w:rFonts w:hint="eastAsia" w:ascii="Times New Roman" w:hAnsi="Times New Roman" w:eastAsia="仿宋_GB2312" w:cs="Times New Roman"/>
          <w:color w:val="auto"/>
          <w:spacing w:val="-6"/>
          <w:sz w:val="32"/>
          <w:szCs w:val="32"/>
          <w:highlight w:val="none"/>
          <w:lang w:val="en-US" w:eastAsia="zh-CN"/>
        </w:rPr>
        <w:t>0118</w:t>
      </w:r>
      <w:r>
        <w:rPr>
          <w:rFonts w:hint="default" w:ascii="Times New Roman" w:hAnsi="Times New Roman" w:eastAsia="仿宋_GB2312" w:cs="Times New Roman"/>
          <w:color w:val="auto"/>
          <w:spacing w:val="-6"/>
          <w:sz w:val="32"/>
          <w:szCs w:val="32"/>
          <w:highlight w:val="none"/>
          <w:lang w:val="en-US" w:eastAsia="zh-CN"/>
        </w:rPr>
        <w:t>号</w:t>
      </w:r>
      <w:r>
        <w:rPr>
          <w:rFonts w:hint="eastAsia" w:ascii="Times New Roman" w:hAnsi="Times New Roman" w:eastAsia="仿宋_GB2312" w:cs="Times New Roman"/>
          <w:color w:val="auto"/>
          <w:spacing w:val="-6"/>
          <w:sz w:val="32"/>
          <w:szCs w:val="32"/>
          <w:highlight w:val="none"/>
        </w:rPr>
        <w:t>，为</w:t>
      </w:r>
      <w:r>
        <w:rPr>
          <w:rFonts w:hint="eastAsia" w:ascii="Times New Roman" w:hAnsi="Times New Roman" w:eastAsia="仿宋_GB2312" w:cs="Times New Roman"/>
          <w:color w:val="auto"/>
          <w:spacing w:val="-6"/>
          <w:sz w:val="32"/>
          <w:szCs w:val="32"/>
          <w:highlight w:val="none"/>
          <w:lang w:val="en-US" w:eastAsia="zh-CN"/>
        </w:rPr>
        <w:t>土地</w:t>
      </w:r>
      <w:r>
        <w:rPr>
          <w:rFonts w:hint="eastAsia" w:ascii="Times New Roman" w:hAnsi="Times New Roman" w:eastAsia="仿宋_GB2312" w:cs="Times New Roman"/>
          <w:color w:val="auto"/>
          <w:spacing w:val="-6"/>
          <w:sz w:val="32"/>
          <w:szCs w:val="32"/>
          <w:highlight w:val="none"/>
        </w:rPr>
        <w:t>权利人</w:t>
      </w:r>
      <w:r>
        <w:rPr>
          <w:rFonts w:hint="eastAsia" w:ascii="Times New Roman" w:hAnsi="Times New Roman" w:eastAsia="仿宋_GB2312" w:cs="Times New Roman"/>
          <w:color w:val="auto"/>
          <w:spacing w:val="-6"/>
          <w:sz w:val="32"/>
          <w:highlight w:val="none"/>
          <w:lang w:eastAsia="zh-CN"/>
        </w:rPr>
        <w:t>吴桂生、杜燕兰</w:t>
      </w:r>
      <w:r>
        <w:rPr>
          <w:rFonts w:hint="default" w:ascii="Times New Roman" w:hAnsi="Times New Roman" w:eastAsia="仿宋_GB2312" w:cs="Times New Roman"/>
          <w:color w:val="auto"/>
          <w:spacing w:val="-6"/>
          <w:sz w:val="32"/>
          <w:szCs w:val="32"/>
          <w:highlight w:val="none"/>
        </w:rPr>
        <w:t>自</w:t>
      </w:r>
      <w:r>
        <w:rPr>
          <w:rFonts w:hint="default" w:ascii="Times New Roman" w:hAnsi="Times New Roman" w:eastAsia="仿宋_GB2312" w:cs="Times New Roman"/>
          <w:color w:val="auto"/>
          <w:spacing w:val="-6"/>
          <w:sz w:val="32"/>
          <w:szCs w:val="32"/>
          <w:highlight w:val="none"/>
          <w:lang w:val="en-US" w:eastAsia="zh-CN"/>
        </w:rPr>
        <w:t>200</w:t>
      </w:r>
      <w:r>
        <w:rPr>
          <w:rFonts w:hint="eastAsia" w:ascii="Times New Roman" w:hAnsi="Times New Roman" w:eastAsia="仿宋_GB2312" w:cs="Times New Roman"/>
          <w:color w:val="auto"/>
          <w:spacing w:val="-6"/>
          <w:sz w:val="32"/>
          <w:szCs w:val="32"/>
          <w:highlight w:val="none"/>
          <w:lang w:val="en-US" w:eastAsia="zh-CN"/>
        </w:rPr>
        <w:t>0</w:t>
      </w:r>
      <w:r>
        <w:rPr>
          <w:rFonts w:hint="default" w:ascii="Times New Roman" w:hAnsi="Times New Roman" w:eastAsia="仿宋_GB2312" w:cs="Times New Roman"/>
          <w:color w:val="auto"/>
          <w:spacing w:val="-6"/>
          <w:sz w:val="32"/>
          <w:szCs w:val="32"/>
          <w:highlight w:val="none"/>
        </w:rPr>
        <w:t>年</w:t>
      </w:r>
      <w:r>
        <w:rPr>
          <w:rFonts w:hint="eastAsia" w:ascii="Times New Roman" w:hAnsi="Times New Roman" w:eastAsia="仿宋_GB2312" w:cs="Times New Roman"/>
          <w:color w:val="auto"/>
          <w:spacing w:val="-6"/>
          <w:sz w:val="32"/>
          <w:szCs w:val="32"/>
          <w:highlight w:val="none"/>
          <w:lang w:val="en-US" w:eastAsia="zh-CN"/>
        </w:rPr>
        <w:t>1</w:t>
      </w:r>
      <w:r>
        <w:rPr>
          <w:rFonts w:hint="default" w:ascii="Times New Roman" w:hAnsi="Times New Roman" w:eastAsia="仿宋_GB2312" w:cs="Times New Roman"/>
          <w:color w:val="auto"/>
          <w:spacing w:val="-6"/>
          <w:sz w:val="32"/>
          <w:szCs w:val="32"/>
          <w:highlight w:val="none"/>
        </w:rPr>
        <w:t>月开始使用</w:t>
      </w:r>
      <w:r>
        <w:rPr>
          <w:rFonts w:hint="eastAsia" w:ascii="Times New Roman" w:hAnsi="Times New Roman" w:eastAsia="仿宋_GB2312" w:cs="Times New Roman"/>
          <w:color w:val="auto"/>
          <w:spacing w:val="-6"/>
          <w:sz w:val="32"/>
          <w:szCs w:val="32"/>
          <w:highlight w:val="none"/>
        </w:rPr>
        <w:t>。</w:t>
      </w:r>
    </w:p>
    <w:p w14:paraId="279F491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1"/>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（四）土地利用现状情况</w:t>
      </w:r>
    </w:p>
    <w:p w14:paraId="275B785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改造地块现用途为工业，有</w:t>
      </w:r>
      <w:r>
        <w:rPr>
          <w:rFonts w:hint="eastAsia" w:ascii="Times New Roman" w:hAnsi="Times New Roman" w:eastAsia="仿宋_GB2312" w:cs="Times New Roman"/>
          <w:color w:val="auto"/>
          <w:spacing w:val="0"/>
          <w:kern w:val="2"/>
          <w:sz w:val="32"/>
          <w:szCs w:val="32"/>
          <w:highlight w:val="none"/>
          <w:u w:val="none"/>
          <w:lang w:val="en-US" w:eastAsia="zh-CN"/>
        </w:rPr>
        <w:t>8</w:t>
      </w:r>
      <w:r>
        <w:rPr>
          <w:rFonts w:hint="default" w:ascii="Times New Roman" w:hAnsi="Times New Roman" w:eastAsia="仿宋_GB2312" w:cs="Times New Roman"/>
          <w:color w:val="auto"/>
          <w:spacing w:val="0"/>
          <w:kern w:val="2"/>
          <w:sz w:val="32"/>
          <w:szCs w:val="32"/>
          <w:highlight w:val="none"/>
        </w:rPr>
        <w:t>栋建筑物，自</w:t>
      </w:r>
      <w:r>
        <w:rPr>
          <w:rFonts w:hint="default" w:ascii="Times New Roman" w:hAnsi="Times New Roman" w:eastAsia="仿宋_GB2312" w:cs="Times New Roman"/>
          <w:color w:val="auto"/>
          <w:spacing w:val="0"/>
          <w:kern w:val="2"/>
          <w:sz w:val="32"/>
          <w:szCs w:val="32"/>
          <w:highlight w:val="none"/>
          <w:u w:val="none"/>
          <w:lang w:val="en-US" w:eastAsia="zh-CN"/>
        </w:rPr>
        <w:t>200</w:t>
      </w:r>
      <w:r>
        <w:rPr>
          <w:rFonts w:hint="eastAsia" w:ascii="Times New Roman" w:hAnsi="Times New Roman" w:eastAsia="仿宋_GB2312" w:cs="Times New Roman"/>
          <w:color w:val="auto"/>
          <w:spacing w:val="0"/>
          <w:kern w:val="2"/>
          <w:sz w:val="32"/>
          <w:szCs w:val="32"/>
          <w:highlight w:val="none"/>
          <w:u w:val="none"/>
          <w:lang w:val="en-US" w:eastAsia="zh-CN"/>
        </w:rPr>
        <w:t>0</w:t>
      </w:r>
      <w:r>
        <w:rPr>
          <w:rFonts w:hint="default" w:ascii="Times New Roman" w:hAnsi="Times New Roman" w:eastAsia="仿宋_GB2312" w:cs="Times New Roman"/>
          <w:color w:val="auto"/>
          <w:spacing w:val="0"/>
          <w:kern w:val="2"/>
          <w:sz w:val="32"/>
          <w:szCs w:val="32"/>
          <w:highlight w:val="none"/>
        </w:rPr>
        <w:t>年</w:t>
      </w:r>
      <w:r>
        <w:rPr>
          <w:rFonts w:hint="eastAsia" w:ascii="Times New Roman" w:hAnsi="Times New Roman" w:eastAsia="仿宋_GB2312" w:cs="Times New Roman"/>
          <w:color w:val="auto"/>
          <w:spacing w:val="0"/>
          <w:kern w:val="2"/>
          <w:sz w:val="32"/>
          <w:szCs w:val="32"/>
          <w:highlight w:val="none"/>
          <w:lang w:val="en-US" w:eastAsia="zh-CN"/>
        </w:rPr>
        <w:t>6</w:t>
      </w:r>
      <w:r>
        <w:rPr>
          <w:rFonts w:hint="default" w:ascii="Times New Roman" w:hAnsi="Times New Roman" w:eastAsia="仿宋_GB2312" w:cs="Times New Roman"/>
          <w:color w:val="auto"/>
          <w:spacing w:val="0"/>
          <w:kern w:val="2"/>
          <w:sz w:val="32"/>
          <w:szCs w:val="32"/>
          <w:highlight w:val="none"/>
        </w:rPr>
        <w:t>月开始使用，</w:t>
      </w:r>
      <w:r>
        <w:rPr>
          <w:rFonts w:hint="default" w:ascii="Times New Roman" w:hAnsi="Times New Roman" w:eastAsia="仿宋_GB2312" w:cs="Times New Roman"/>
          <w:color w:val="auto"/>
          <w:spacing w:val="0"/>
          <w:kern w:val="2"/>
          <w:sz w:val="32"/>
          <w:szCs w:val="32"/>
          <w:highlight w:val="none"/>
          <w:lang w:val="en-US" w:eastAsia="zh-CN"/>
        </w:rPr>
        <w:t>未办理</w:t>
      </w:r>
      <w:r>
        <w:rPr>
          <w:rFonts w:hint="eastAsia" w:ascii="Times New Roman" w:hAnsi="Times New Roman" w:eastAsia="仿宋_GB2312" w:cs="Times New Roman"/>
          <w:color w:val="auto"/>
          <w:spacing w:val="0"/>
          <w:kern w:val="2"/>
          <w:sz w:val="32"/>
          <w:szCs w:val="32"/>
          <w:highlight w:val="none"/>
          <w:lang w:val="en-US" w:eastAsia="zh-CN"/>
        </w:rPr>
        <w:t>规划</w:t>
      </w:r>
      <w:r>
        <w:rPr>
          <w:rFonts w:hint="default" w:ascii="Times New Roman" w:hAnsi="Times New Roman" w:eastAsia="仿宋_GB2312" w:cs="Times New Roman"/>
          <w:color w:val="auto"/>
          <w:spacing w:val="0"/>
          <w:kern w:val="2"/>
          <w:sz w:val="32"/>
          <w:szCs w:val="32"/>
          <w:highlight w:val="none"/>
        </w:rPr>
        <w:t>报建手续，现有建筑面积</w:t>
      </w:r>
      <w:r>
        <w:rPr>
          <w:rFonts w:hint="eastAsia" w:ascii="Times New Roman" w:hAnsi="Times New Roman" w:eastAsia="仿宋_GB2312" w:cs="Times New Roman"/>
          <w:color w:val="auto"/>
          <w:spacing w:val="0"/>
          <w:kern w:val="2"/>
          <w:sz w:val="32"/>
          <w:szCs w:val="32"/>
          <w:highlight w:val="none"/>
          <w:lang w:val="en-US" w:eastAsia="zh-CN"/>
        </w:rPr>
        <w:t>8788.59</w:t>
      </w:r>
      <w:r>
        <w:rPr>
          <w:rFonts w:hint="default" w:ascii="Times New Roman" w:hAnsi="Times New Roman" w:eastAsia="仿宋_GB2312" w:cs="Times New Roman"/>
          <w:color w:val="auto"/>
          <w:spacing w:val="0"/>
          <w:kern w:val="2"/>
          <w:sz w:val="32"/>
          <w:szCs w:val="32"/>
          <w:highlight w:val="none"/>
        </w:rPr>
        <w:t>平方米，现状容积率0.</w:t>
      </w:r>
      <w:r>
        <w:rPr>
          <w:rFonts w:hint="eastAsia" w:ascii="Times New Roman" w:hAnsi="Times New Roman" w:eastAsia="仿宋_GB2312" w:cs="Times New Roman"/>
          <w:color w:val="auto"/>
          <w:spacing w:val="0"/>
          <w:kern w:val="2"/>
          <w:sz w:val="32"/>
          <w:szCs w:val="32"/>
          <w:highlight w:val="none"/>
          <w:lang w:val="en-US" w:eastAsia="zh-CN"/>
        </w:rPr>
        <w:t>96</w:t>
      </w:r>
      <w:r>
        <w:rPr>
          <w:rFonts w:hint="default" w:ascii="Times New Roman" w:hAnsi="Times New Roman" w:eastAsia="仿宋_GB2312" w:cs="Times New Roman"/>
          <w:color w:val="auto"/>
          <w:spacing w:val="0"/>
          <w:kern w:val="2"/>
          <w:sz w:val="32"/>
          <w:szCs w:val="32"/>
          <w:highlight w:val="none"/>
        </w:rPr>
        <w:t>，作</w:t>
      </w:r>
      <w:r>
        <w:rPr>
          <w:rFonts w:hint="default" w:ascii="Times New Roman" w:hAnsi="Times New Roman" w:eastAsia="仿宋_GB2312" w:cs="Times New Roman"/>
          <w:spacing w:val="0"/>
          <w:sz w:val="32"/>
          <w:szCs w:val="32"/>
          <w:highlight w:val="none"/>
        </w:rPr>
        <w:t>工业厂房和配套用房使用</w:t>
      </w:r>
      <w:r>
        <w:rPr>
          <w:rFonts w:hint="default" w:ascii="Times New Roman" w:hAnsi="Times New Roman" w:eastAsia="仿宋_GB2312" w:cs="Times New Roman"/>
          <w:color w:val="auto"/>
          <w:spacing w:val="0"/>
          <w:kern w:val="2"/>
          <w:sz w:val="32"/>
          <w:szCs w:val="32"/>
          <w:highlight w:val="none"/>
        </w:rPr>
        <w:t>。目前该地块尚未拆除建筑，改造前年产值为</w:t>
      </w:r>
      <w:r>
        <w:rPr>
          <w:rFonts w:hint="eastAsia" w:ascii="Times New Roman" w:hAnsi="Times New Roman" w:eastAsia="仿宋_GB2312" w:cs="Times New Roman"/>
          <w:color w:val="auto"/>
          <w:spacing w:val="0"/>
          <w:kern w:val="2"/>
          <w:sz w:val="32"/>
          <w:szCs w:val="32"/>
          <w:highlight w:val="none"/>
          <w:u w:val="none"/>
          <w:lang w:val="en-US" w:eastAsia="zh-CN"/>
        </w:rPr>
        <w:t>18</w:t>
      </w:r>
      <w:r>
        <w:rPr>
          <w:rFonts w:hint="default" w:ascii="Times New Roman" w:hAnsi="Times New Roman" w:eastAsia="仿宋_GB2312" w:cs="Times New Roman"/>
          <w:color w:val="auto"/>
          <w:spacing w:val="0"/>
          <w:kern w:val="2"/>
          <w:sz w:val="32"/>
          <w:szCs w:val="32"/>
          <w:highlight w:val="none"/>
          <w:u w:val="none"/>
          <w:lang w:val="en-US" w:eastAsia="zh-CN"/>
        </w:rPr>
        <w:t>00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约131.49万元/亩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，年税收为</w:t>
      </w:r>
      <w:r>
        <w:rPr>
          <w:rFonts w:hint="default" w:ascii="Times New Roman" w:hAnsi="Times New Roman" w:eastAsia="仿宋_GB2312" w:cs="Times New Roman"/>
          <w:color w:val="auto"/>
          <w:spacing w:val="0"/>
          <w:kern w:val="2"/>
          <w:sz w:val="32"/>
          <w:szCs w:val="32"/>
          <w:highlight w:val="none"/>
          <w:u w:val="none"/>
          <w:lang w:val="en-US" w:eastAsia="zh-CN"/>
        </w:rPr>
        <w:t>50</w:t>
      </w:r>
      <w:r>
        <w:rPr>
          <w:rFonts w:hint="default" w:ascii="Times New Roman" w:hAnsi="Times New Roman" w:eastAsia="仿宋_GB2312" w:cs="Times New Roman"/>
          <w:color w:val="auto"/>
          <w:spacing w:val="0"/>
          <w:kern w:val="2"/>
          <w:sz w:val="32"/>
          <w:szCs w:val="32"/>
          <w:highlight w:val="none"/>
        </w:rPr>
        <w:t>万元</w:t>
      </w:r>
      <w:r>
        <w:rPr>
          <w:rFonts w:hint="eastAsia" w:ascii="Times New Roman" w:hAnsi="Times New Roman" w:eastAsia="仿宋_GB2312" w:cs="Times New Roman"/>
          <w:color w:val="auto"/>
          <w:spacing w:val="0"/>
          <w:kern w:val="2"/>
          <w:sz w:val="32"/>
          <w:szCs w:val="32"/>
          <w:highlight w:val="none"/>
          <w:lang w:eastAsia="zh-CN"/>
        </w:rPr>
        <w:t>（</w:t>
      </w:r>
      <w:r>
        <w:rPr>
          <w:rFonts w:hint="eastAsia" w:ascii="Times New Roman" w:hAnsi="Times New Roman" w:eastAsia="仿宋_GB2312" w:cs="Times New Roman"/>
          <w:color w:val="auto"/>
          <w:spacing w:val="0"/>
          <w:kern w:val="2"/>
          <w:sz w:val="32"/>
          <w:szCs w:val="32"/>
          <w:highlight w:val="none"/>
          <w:lang w:val="en-US" w:eastAsia="zh-CN"/>
        </w:rPr>
        <w:t>约3.65万元/亩</w:t>
      </w:r>
      <w:r>
        <w:rPr>
          <w:rFonts w:hint="eastAsia"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w:t>
      </w:r>
    </w:p>
    <w:p w14:paraId="72341183">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spacing w:val="0"/>
          <w:sz w:val="32"/>
          <w:szCs w:val="32"/>
          <w:highlight w:val="none"/>
          <w:lang w:eastAsia="zh-CN"/>
        </w:rPr>
      </w:pPr>
      <w:r>
        <w:rPr>
          <w:rFonts w:hint="eastAsia" w:ascii="仿宋_GB2312" w:hAnsi="仿宋_GB2312" w:eastAsia="仿宋_GB2312" w:cs="仿宋_GB2312"/>
          <w:color w:val="auto"/>
          <w:spacing w:val="-6"/>
          <w:sz w:val="32"/>
          <w:highlight w:val="none"/>
          <w:u w:val="none"/>
        </w:rPr>
        <w:t>改造地块不涉及到抵押、历史文化资源要素</w:t>
      </w:r>
      <w:r>
        <w:rPr>
          <w:rFonts w:hint="eastAsia" w:ascii="仿宋_GB2312" w:hAnsi="仿宋_GB2312" w:eastAsia="仿宋_GB2312" w:cs="仿宋_GB2312"/>
          <w:color w:val="auto"/>
          <w:spacing w:val="-6"/>
          <w:sz w:val="32"/>
          <w:highlight w:val="none"/>
          <w:u w:val="none"/>
          <w:lang w:val="en-US" w:eastAsia="zh-CN"/>
        </w:rPr>
        <w:t>、森林资源以及</w:t>
      </w:r>
      <w:r>
        <w:rPr>
          <w:rFonts w:hint="eastAsia" w:ascii="Times New Roman" w:hAnsi="Times New Roman" w:eastAsia="仿宋_GB2312" w:cs="Times New Roman"/>
          <w:color w:val="auto"/>
          <w:spacing w:val="0"/>
          <w:sz w:val="32"/>
          <w:szCs w:val="32"/>
          <w:highlight w:val="none"/>
          <w:lang w:eastAsia="zh-CN"/>
        </w:rPr>
        <w:t>土壤环境潜在监管地块</w:t>
      </w:r>
      <w:r>
        <w:rPr>
          <w:rFonts w:hint="eastAsia" w:ascii="仿宋_GB2312" w:hAnsi="仿宋_GB2312" w:eastAsia="仿宋_GB2312" w:cs="仿宋_GB2312"/>
          <w:color w:val="auto"/>
          <w:spacing w:val="-6"/>
          <w:sz w:val="32"/>
          <w:highlight w:val="none"/>
          <w:u w:val="none"/>
        </w:rPr>
        <w:t>等情况</w:t>
      </w:r>
      <w:r>
        <w:rPr>
          <w:rFonts w:hint="eastAsia" w:ascii="仿宋_GB2312" w:hAnsi="仿宋_GB2312" w:eastAsia="仿宋_GB2312" w:cs="仿宋_GB2312"/>
          <w:color w:val="auto"/>
          <w:spacing w:val="-6"/>
          <w:sz w:val="32"/>
          <w:highlight w:val="none"/>
          <w:u w:val="none"/>
          <w:lang w:eastAsia="zh-CN"/>
        </w:rPr>
        <w:t>。</w:t>
      </w:r>
    </w:p>
    <w:p w14:paraId="37560D9B">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（五）规划情况</w:t>
      </w:r>
    </w:p>
    <w:p w14:paraId="37E8FB0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改造地块符合</w:t>
      </w:r>
      <w:r>
        <w:rPr>
          <w:rFonts w:hint="eastAsia" w:ascii="Times New Roman" w:hAnsi="Times New Roman" w:eastAsia="仿宋_GB2312" w:cs="Times New Roman"/>
          <w:color w:val="auto"/>
          <w:spacing w:val="-6"/>
          <w:kern w:val="0"/>
          <w:sz w:val="32"/>
          <w:szCs w:val="32"/>
          <w:highlight w:val="none"/>
          <w:lang w:val="en-US" w:eastAsia="zh-CN"/>
        </w:rPr>
        <w:t>国土空间总体规划</w:t>
      </w:r>
      <w:r>
        <w:rPr>
          <w:rFonts w:hint="default" w:ascii="Times New Roman" w:hAnsi="Times New Roman" w:eastAsia="仿宋_GB2312" w:cs="Times New Roman"/>
          <w:color w:val="auto"/>
          <w:spacing w:val="-6"/>
          <w:kern w:val="0"/>
          <w:sz w:val="32"/>
          <w:szCs w:val="32"/>
          <w:highlight w:val="none"/>
          <w:lang w:val="en-US" w:eastAsia="zh-CN"/>
        </w:rPr>
        <w:t>和单元规划</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已纳入《中山市城市更新（“三旧”改造）专项规划（2020-2035年）》</w:t>
      </w:r>
      <w:r>
        <w:rPr>
          <w:rFonts w:hint="default" w:ascii="Times New Roman" w:hAnsi="Times New Roman" w:eastAsia="仿宋_GB2312" w:cs="Times New Roman"/>
          <w:color w:val="auto"/>
          <w:spacing w:val="-6"/>
          <w:kern w:val="0"/>
          <w:sz w:val="32"/>
          <w:szCs w:val="32"/>
          <w:highlight w:val="none"/>
          <w:lang w:eastAsia="zh-CN"/>
        </w:rPr>
        <w:t>。其中，在</w:t>
      </w:r>
      <w:r>
        <w:rPr>
          <w:rFonts w:hint="eastAsia" w:ascii="Times New Roman" w:hAnsi="Times New Roman" w:eastAsia="仿宋_GB2312" w:cs="Times New Roman"/>
          <w:color w:val="auto"/>
          <w:spacing w:val="-6"/>
          <w:kern w:val="0"/>
          <w:sz w:val="32"/>
          <w:szCs w:val="32"/>
          <w:highlight w:val="none"/>
          <w:lang w:val="en-US" w:eastAsia="zh-CN"/>
        </w:rPr>
        <w:t>国土空间</w:t>
      </w:r>
      <w:r>
        <w:rPr>
          <w:rFonts w:hint="default" w:ascii="Times New Roman" w:hAnsi="Times New Roman" w:eastAsia="仿宋_GB2312" w:cs="Times New Roman"/>
          <w:color w:val="auto"/>
          <w:spacing w:val="-6"/>
          <w:kern w:val="0"/>
          <w:sz w:val="32"/>
          <w:szCs w:val="32"/>
          <w:highlight w:val="none"/>
          <w:lang w:eastAsia="zh-CN"/>
        </w:rPr>
        <w:t>总体规划中，</w:t>
      </w:r>
      <w:r>
        <w:rPr>
          <w:rFonts w:hint="eastAsia" w:ascii="Times New Roman" w:hAnsi="Times New Roman" w:eastAsia="仿宋_GB2312" w:cs="Times New Roman"/>
          <w:color w:val="auto"/>
          <w:spacing w:val="-6"/>
          <w:kern w:val="0"/>
          <w:sz w:val="32"/>
          <w:szCs w:val="32"/>
          <w:highlight w:val="none"/>
          <w:lang w:val="en-US" w:eastAsia="zh-CN"/>
        </w:rPr>
        <w:t>均</w:t>
      </w:r>
      <w:r>
        <w:rPr>
          <w:rFonts w:hint="default" w:ascii="Times New Roman" w:hAnsi="Times New Roman" w:eastAsia="仿宋_GB2312" w:cs="Times New Roman"/>
          <w:color w:val="auto"/>
          <w:spacing w:val="-6"/>
          <w:kern w:val="0"/>
          <w:sz w:val="32"/>
          <w:szCs w:val="32"/>
          <w:highlight w:val="none"/>
          <w:lang w:eastAsia="zh-CN"/>
        </w:rPr>
        <w:t>属城镇建设用地；在</w:t>
      </w:r>
      <w:r>
        <w:rPr>
          <w:rFonts w:hint="default" w:ascii="Times New Roman" w:hAnsi="Times New Roman" w:eastAsia="仿宋_GB2312" w:cs="Times New Roman"/>
          <w:color w:val="auto"/>
          <w:spacing w:val="-6"/>
          <w:kern w:val="0"/>
          <w:sz w:val="32"/>
          <w:szCs w:val="32"/>
          <w:highlight w:val="none"/>
          <w:lang w:val="en-US" w:eastAsia="zh-CN"/>
        </w:rPr>
        <w:t>《中山市黄圃镇新丰南（新糖、文明）片区城市更新片区策划（HPZ-60单元规划）》（中府函〔2023〕122号）中</w:t>
      </w:r>
      <w:r>
        <w:rPr>
          <w:rFonts w:hint="default" w:ascii="Times New Roman" w:hAnsi="Times New Roman" w:eastAsia="仿宋_GB2312" w:cs="Times New Roman"/>
          <w:color w:val="auto"/>
          <w:spacing w:val="-6"/>
          <w:kern w:val="0"/>
          <w:sz w:val="32"/>
          <w:szCs w:val="32"/>
          <w:highlight w:val="none"/>
          <w:lang w:eastAsia="zh-CN"/>
        </w:rPr>
        <w:t>，</w:t>
      </w:r>
      <w:r>
        <w:rPr>
          <w:rFonts w:hint="eastAsia" w:ascii="Times New Roman" w:hAnsi="Times New Roman" w:eastAsia="仿宋_GB2312" w:cs="Times New Roman"/>
          <w:color w:val="auto"/>
          <w:spacing w:val="-6"/>
          <w:kern w:val="0"/>
          <w:sz w:val="32"/>
          <w:szCs w:val="32"/>
          <w:highlight w:val="none"/>
          <w:lang w:val="en-US" w:eastAsia="zh-CN"/>
        </w:rPr>
        <w:t>一</w:t>
      </w:r>
      <w:r>
        <w:rPr>
          <w:rFonts w:hint="default" w:ascii="Times New Roman" w:hAnsi="Times New Roman" w:eastAsia="仿宋_GB2312" w:cs="Times New Roman"/>
          <w:color w:val="auto"/>
          <w:spacing w:val="-6"/>
          <w:kern w:val="0"/>
          <w:sz w:val="32"/>
          <w:szCs w:val="32"/>
          <w:highlight w:val="none"/>
          <w:lang w:eastAsia="zh-CN"/>
        </w:rPr>
        <w:t>类工业用地</w:t>
      </w:r>
      <w:r>
        <w:rPr>
          <w:rFonts w:hint="eastAsia" w:ascii="Times New Roman" w:hAnsi="Times New Roman" w:eastAsia="仿宋_GB2312" w:cs="Times New Roman"/>
          <w:color w:val="auto"/>
          <w:spacing w:val="-6"/>
          <w:kern w:val="0"/>
          <w:sz w:val="32"/>
          <w:szCs w:val="32"/>
          <w:highlight w:val="none"/>
          <w:lang w:val="en-US" w:eastAsia="zh-CN"/>
        </w:rPr>
        <w:t>0.8995</w:t>
      </w:r>
      <w:r>
        <w:rPr>
          <w:rFonts w:hint="default" w:ascii="Times New Roman" w:hAnsi="Times New Roman" w:eastAsia="仿宋_GB2312" w:cs="Times New Roman"/>
          <w:color w:val="auto"/>
          <w:spacing w:val="-6"/>
          <w:kern w:val="0"/>
          <w:sz w:val="32"/>
          <w:szCs w:val="32"/>
          <w:highlight w:val="none"/>
          <w:lang w:val="en-US" w:eastAsia="zh-CN"/>
        </w:rPr>
        <w:t>公顷（8995平方米，折合约</w:t>
      </w:r>
      <w:r>
        <w:rPr>
          <w:rFonts w:hint="eastAsia" w:ascii="Times New Roman" w:hAnsi="Times New Roman" w:eastAsia="仿宋_GB2312" w:cs="Times New Roman"/>
          <w:color w:val="auto"/>
          <w:spacing w:val="-6"/>
          <w:kern w:val="0"/>
          <w:sz w:val="32"/>
          <w:szCs w:val="32"/>
          <w:highlight w:val="none"/>
          <w:lang w:val="en-US" w:eastAsia="zh-CN"/>
        </w:rPr>
        <w:t>13.49</w:t>
      </w:r>
      <w:r>
        <w:rPr>
          <w:rFonts w:hint="default" w:ascii="Times New Roman" w:hAnsi="Times New Roman" w:eastAsia="仿宋_GB2312" w:cs="Times New Roman"/>
          <w:color w:val="auto"/>
          <w:spacing w:val="-6"/>
          <w:kern w:val="0"/>
          <w:sz w:val="32"/>
          <w:szCs w:val="32"/>
          <w:highlight w:val="none"/>
          <w:lang w:val="en-US" w:eastAsia="zh-CN"/>
        </w:rPr>
        <w:t>亩)</w:t>
      </w:r>
      <w:r>
        <w:rPr>
          <w:rFonts w:hint="default" w:ascii="Times New Roman" w:hAnsi="Times New Roman" w:eastAsia="仿宋_GB2312" w:cs="Times New Roman"/>
          <w:color w:val="auto"/>
          <w:spacing w:val="-6"/>
          <w:kern w:val="0"/>
          <w:sz w:val="32"/>
          <w:szCs w:val="32"/>
          <w:highlight w:val="none"/>
          <w:lang w:eastAsia="zh-CN"/>
        </w:rPr>
        <w:t>，规划容积率</w:t>
      </w:r>
      <w:r>
        <w:rPr>
          <w:rFonts w:hint="default" w:ascii="Times New Roman" w:hAnsi="Times New Roman" w:eastAsia="仿宋_GB2312" w:cs="Times New Roman"/>
          <w:color w:val="auto"/>
          <w:spacing w:val="-6"/>
          <w:kern w:val="0"/>
          <w:sz w:val="32"/>
          <w:szCs w:val="32"/>
          <w:highlight w:val="none"/>
          <w:lang w:val="en-US" w:eastAsia="zh-CN"/>
        </w:rPr>
        <w:t>1-</w:t>
      </w:r>
      <w:r>
        <w:rPr>
          <w:rFonts w:hint="eastAsia" w:ascii="Times New Roman" w:hAnsi="Times New Roman" w:eastAsia="仿宋_GB2312" w:cs="Times New Roman"/>
          <w:color w:val="auto"/>
          <w:spacing w:val="-6"/>
          <w:kern w:val="0"/>
          <w:sz w:val="32"/>
          <w:szCs w:val="32"/>
          <w:highlight w:val="none"/>
          <w:lang w:val="en-US" w:eastAsia="zh-CN"/>
        </w:rPr>
        <w:t>4.0</w:t>
      </w:r>
      <w:r>
        <w:rPr>
          <w:rFonts w:hint="default" w:ascii="Times New Roman" w:hAnsi="Times New Roman" w:eastAsia="仿宋_GB2312" w:cs="Times New Roman"/>
          <w:color w:val="auto"/>
          <w:spacing w:val="-6"/>
          <w:kern w:val="0"/>
          <w:sz w:val="32"/>
          <w:szCs w:val="32"/>
          <w:highlight w:val="none"/>
          <w:lang w:eastAsia="zh-CN"/>
        </w:rPr>
        <w:t>，建筑密度</w:t>
      </w:r>
      <w:r>
        <w:rPr>
          <w:rFonts w:hint="default" w:ascii="Times New Roman" w:hAnsi="Times New Roman" w:eastAsia="仿宋_GB2312" w:cs="Times New Roman"/>
          <w:color w:val="auto"/>
          <w:spacing w:val="-6"/>
          <w:kern w:val="0"/>
          <w:sz w:val="32"/>
          <w:szCs w:val="32"/>
          <w:highlight w:val="none"/>
          <w:lang w:val="en-US" w:eastAsia="zh-CN"/>
        </w:rPr>
        <w:t>35%-60%</w:t>
      </w:r>
      <w:r>
        <w:rPr>
          <w:rFonts w:hint="default" w:ascii="Times New Roman" w:hAnsi="Times New Roman" w:eastAsia="仿宋_GB2312" w:cs="Times New Roman"/>
          <w:color w:val="auto"/>
          <w:spacing w:val="-6"/>
          <w:kern w:val="0"/>
          <w:sz w:val="32"/>
          <w:szCs w:val="32"/>
          <w:highlight w:val="none"/>
          <w:lang w:eastAsia="zh-CN"/>
        </w:rPr>
        <w:t>，绿地率</w:t>
      </w:r>
      <w:r>
        <w:rPr>
          <w:rFonts w:hint="default" w:ascii="Times New Roman" w:hAnsi="Times New Roman" w:eastAsia="仿宋_GB2312" w:cs="Times New Roman"/>
          <w:color w:val="auto"/>
          <w:spacing w:val="-6"/>
          <w:kern w:val="0"/>
          <w:sz w:val="32"/>
          <w:szCs w:val="32"/>
          <w:highlight w:val="none"/>
          <w:lang w:val="en-US" w:eastAsia="zh-CN"/>
        </w:rPr>
        <w:t>10%-15%，生产性建筑高度≤</w:t>
      </w:r>
      <w:r>
        <w:rPr>
          <w:rFonts w:hint="eastAsia" w:ascii="Times New Roman" w:hAnsi="Times New Roman" w:eastAsia="仿宋_GB2312" w:cs="Times New Roman"/>
          <w:color w:val="auto"/>
          <w:spacing w:val="-6"/>
          <w:kern w:val="0"/>
          <w:sz w:val="32"/>
          <w:szCs w:val="32"/>
          <w:highlight w:val="none"/>
          <w:lang w:val="en-US" w:eastAsia="zh-CN"/>
        </w:rPr>
        <w:t>7</w:t>
      </w:r>
      <w:r>
        <w:rPr>
          <w:rFonts w:hint="default" w:ascii="Times New Roman" w:hAnsi="Times New Roman" w:eastAsia="仿宋_GB2312" w:cs="Times New Roman"/>
          <w:color w:val="auto"/>
          <w:spacing w:val="-6"/>
          <w:kern w:val="0"/>
          <w:sz w:val="32"/>
          <w:szCs w:val="32"/>
          <w:highlight w:val="none"/>
          <w:lang w:val="en-US" w:eastAsia="zh-CN"/>
        </w:rPr>
        <w:t>0米（特殊工艺除外），配套设施建筑高度≤100米</w:t>
      </w:r>
      <w:r>
        <w:rPr>
          <w:rFonts w:hint="eastAsia"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val="en-US" w:eastAsia="zh-CN"/>
        </w:rPr>
        <w:t>道路用地</w:t>
      </w:r>
      <w:r>
        <w:rPr>
          <w:rFonts w:hint="eastAsia" w:ascii="Times New Roman" w:hAnsi="Times New Roman" w:eastAsia="仿宋_GB2312" w:cs="Times New Roman"/>
          <w:color w:val="auto"/>
          <w:spacing w:val="-6"/>
          <w:kern w:val="0"/>
          <w:sz w:val="32"/>
          <w:szCs w:val="32"/>
          <w:highlight w:val="none"/>
          <w:lang w:val="en-US" w:eastAsia="zh-CN"/>
        </w:rPr>
        <w:t>0.0131</w:t>
      </w:r>
      <w:r>
        <w:rPr>
          <w:rFonts w:hint="default" w:ascii="Times New Roman" w:hAnsi="Times New Roman" w:eastAsia="仿宋_GB2312" w:cs="Times New Roman"/>
          <w:color w:val="auto"/>
          <w:spacing w:val="-6"/>
          <w:kern w:val="0"/>
          <w:sz w:val="32"/>
          <w:szCs w:val="32"/>
          <w:highlight w:val="none"/>
          <w:lang w:val="en-US" w:eastAsia="zh-CN"/>
        </w:rPr>
        <w:t>公顷（</w:t>
      </w:r>
      <w:r>
        <w:rPr>
          <w:rFonts w:hint="eastAsia" w:ascii="Times New Roman" w:hAnsi="Times New Roman" w:eastAsia="仿宋_GB2312" w:cs="Times New Roman"/>
          <w:color w:val="auto"/>
          <w:spacing w:val="-6"/>
          <w:kern w:val="0"/>
          <w:sz w:val="32"/>
          <w:szCs w:val="32"/>
          <w:highlight w:val="none"/>
          <w:lang w:val="en-US" w:eastAsia="zh-CN"/>
        </w:rPr>
        <w:t>131</w:t>
      </w:r>
      <w:r>
        <w:rPr>
          <w:rFonts w:hint="default" w:ascii="Times New Roman" w:hAnsi="Times New Roman" w:eastAsia="仿宋_GB2312" w:cs="Times New Roman"/>
          <w:color w:val="auto"/>
          <w:spacing w:val="-6"/>
          <w:kern w:val="0"/>
          <w:sz w:val="32"/>
          <w:szCs w:val="32"/>
          <w:highlight w:val="none"/>
          <w:lang w:eastAsia="zh-CN"/>
        </w:rPr>
        <w:t>平方米，折合约</w:t>
      </w:r>
      <w:r>
        <w:rPr>
          <w:rFonts w:hint="eastAsia" w:ascii="Times New Roman" w:hAnsi="Times New Roman" w:eastAsia="仿宋_GB2312" w:cs="Times New Roman"/>
          <w:color w:val="auto"/>
          <w:spacing w:val="-6"/>
          <w:kern w:val="0"/>
          <w:sz w:val="32"/>
          <w:szCs w:val="32"/>
          <w:highlight w:val="none"/>
          <w:lang w:val="en-US" w:eastAsia="zh-CN"/>
        </w:rPr>
        <w:t>0.20</w:t>
      </w:r>
      <w:r>
        <w:rPr>
          <w:rFonts w:hint="default" w:ascii="Times New Roman" w:hAnsi="Times New Roman" w:eastAsia="仿宋_GB2312" w:cs="Times New Roman"/>
          <w:color w:val="auto"/>
          <w:spacing w:val="-6"/>
          <w:kern w:val="0"/>
          <w:sz w:val="32"/>
          <w:szCs w:val="32"/>
          <w:highlight w:val="none"/>
          <w:lang w:eastAsia="zh-CN"/>
        </w:rPr>
        <w:t>亩</w:t>
      </w:r>
      <w:r>
        <w:rPr>
          <w:rFonts w:hint="default" w:ascii="Times New Roman" w:hAnsi="Times New Roman" w:eastAsia="仿宋_GB2312" w:cs="Times New Roman"/>
          <w:color w:val="auto"/>
          <w:spacing w:val="-6"/>
          <w:kern w:val="0"/>
          <w:sz w:val="32"/>
          <w:szCs w:val="32"/>
          <w:highlight w:val="none"/>
          <w:lang w:val="en-US" w:eastAsia="zh-CN"/>
        </w:rPr>
        <w:t>)</w:t>
      </w:r>
      <w:r>
        <w:rPr>
          <w:rFonts w:hint="default" w:ascii="Times New Roman" w:hAnsi="Times New Roman" w:eastAsia="仿宋_GB2312" w:cs="Times New Roman"/>
          <w:color w:val="auto"/>
          <w:spacing w:val="-6"/>
          <w:kern w:val="0"/>
          <w:sz w:val="32"/>
          <w:szCs w:val="32"/>
          <w:highlight w:val="none"/>
          <w:lang w:eastAsia="zh-CN"/>
        </w:rPr>
        <w:t>。</w:t>
      </w:r>
    </w:p>
    <w:p w14:paraId="045CEDD3">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sz w:val="32"/>
          <w:szCs w:val="32"/>
          <w:highlight w:val="none"/>
        </w:rPr>
        <w:t>改造地块位于“三区三线”城镇开发边界内，不涉及永久基本农田、生态保护红线</w:t>
      </w:r>
      <w:r>
        <w:rPr>
          <w:rFonts w:hint="eastAsia" w:ascii="仿宋_GB2312" w:hAnsi="仿宋_GB2312" w:eastAsia="仿宋_GB2312" w:cs="仿宋_GB2312"/>
          <w:color w:val="auto"/>
          <w:spacing w:val="-6"/>
          <w:sz w:val="32"/>
          <w:highlight w:val="none"/>
          <w:u w:val="none"/>
          <w:lang w:val="en-US" w:eastAsia="zh-CN"/>
        </w:rPr>
        <w:t>、森林资源</w:t>
      </w:r>
      <w:r>
        <w:rPr>
          <w:rFonts w:hint="default" w:ascii="Times New Roman" w:hAnsi="Times New Roman" w:eastAsia="仿宋_GB2312" w:cs="Times New Roman"/>
          <w:color w:val="auto"/>
          <w:spacing w:val="-6"/>
          <w:sz w:val="32"/>
          <w:szCs w:val="32"/>
          <w:highlight w:val="none"/>
        </w:rPr>
        <w:t>等管控要求。</w:t>
      </w:r>
    </w:p>
    <w:p w14:paraId="3EA40A6A">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hint="default" w:ascii="Times New Roman" w:hAnsi="Times New Roman" w:eastAsia="黑体" w:cs="Times New Roman"/>
          <w:color w:val="auto"/>
          <w:spacing w:val="-6"/>
          <w:kern w:val="0"/>
          <w:sz w:val="32"/>
          <w:szCs w:val="32"/>
          <w:highlight w:val="none"/>
          <w:lang w:val="en-US" w:eastAsia="zh-CN"/>
        </w:rPr>
      </w:pPr>
      <w:r>
        <w:rPr>
          <w:rFonts w:hint="default" w:ascii="Times New Roman" w:hAnsi="Times New Roman" w:eastAsia="黑体" w:cs="Times New Roman"/>
          <w:color w:val="auto"/>
          <w:spacing w:val="-6"/>
          <w:kern w:val="0"/>
          <w:sz w:val="32"/>
          <w:szCs w:val="32"/>
          <w:highlight w:val="none"/>
        </w:rPr>
        <w:t>改造意愿情况</w:t>
      </w:r>
    </w:p>
    <w:p w14:paraId="509E7BE6">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000000"/>
          <w:spacing w:val="-6"/>
          <w:kern w:val="0"/>
          <w:sz w:val="32"/>
          <w:szCs w:val="32"/>
          <w:highlight w:val="none"/>
          <w:lang w:val="en-US" w:eastAsia="zh-CN" w:bidi="ar-SA"/>
        </w:rPr>
      </w:pPr>
      <w:r>
        <w:rPr>
          <w:rFonts w:hint="default" w:ascii="Times New Roman" w:hAnsi="Times New Roman" w:eastAsia="仿宋_GB2312" w:cs="Times New Roman"/>
          <w:color w:val="auto"/>
          <w:spacing w:val="-6"/>
          <w:kern w:val="0"/>
          <w:sz w:val="32"/>
          <w:szCs w:val="32"/>
          <w:highlight w:val="none"/>
          <w:lang w:val="en-US" w:eastAsia="zh-CN" w:bidi="ar-SA"/>
        </w:rPr>
        <w:t>改造范围涉及</w:t>
      </w:r>
      <w:r>
        <w:rPr>
          <w:rFonts w:hint="eastAsia" w:ascii="Times New Roman" w:hAnsi="Times New Roman" w:eastAsia="仿宋_GB2312" w:cs="Times New Roman"/>
          <w:color w:val="auto"/>
          <w:spacing w:val="-6"/>
          <w:sz w:val="32"/>
          <w:highlight w:val="none"/>
          <w:lang w:eastAsia="zh-CN"/>
        </w:rPr>
        <w:t>吴桂生、杜燕兰</w:t>
      </w:r>
      <w:r>
        <w:rPr>
          <w:rFonts w:hint="eastAsia" w:ascii="Times New Roman" w:hAnsi="Times New Roman" w:eastAsia="仿宋_GB2312" w:cs="Times New Roman"/>
          <w:color w:val="auto"/>
          <w:spacing w:val="-6"/>
          <w:sz w:val="32"/>
          <w:highlight w:val="none"/>
          <w:lang w:val="en-US" w:eastAsia="zh-CN"/>
        </w:rPr>
        <w:t>及</w:t>
      </w:r>
      <w:r>
        <w:rPr>
          <w:rFonts w:hint="eastAsia" w:ascii="Times New Roman" w:hAnsi="Times New Roman" w:eastAsia="仿宋_GB2312" w:cs="Times New Roman"/>
          <w:color w:val="auto"/>
          <w:spacing w:val="-6"/>
          <w:kern w:val="2"/>
          <w:sz w:val="32"/>
          <w:szCs w:val="24"/>
          <w:highlight w:val="none"/>
          <w:u w:val="none"/>
          <w:lang w:eastAsia="zh-CN"/>
        </w:rPr>
        <w:t>中山市金盈辉科技有限公司</w:t>
      </w:r>
      <w:r>
        <w:rPr>
          <w:rFonts w:hint="eastAsia" w:ascii="Times New Roman" w:hAnsi="Times New Roman" w:eastAsia="仿宋_GB2312" w:cs="Times New Roman"/>
          <w:color w:val="auto"/>
          <w:spacing w:val="-6"/>
          <w:sz w:val="32"/>
          <w:highlight w:val="none"/>
          <w:lang w:val="en-US" w:eastAsia="zh-CN"/>
        </w:rPr>
        <w:t>2</w:t>
      </w:r>
      <w:r>
        <w:rPr>
          <w:rFonts w:hint="default" w:ascii="Times New Roman" w:hAnsi="Times New Roman" w:eastAsia="仿宋_GB2312" w:cs="Times New Roman"/>
          <w:color w:val="auto"/>
          <w:spacing w:val="-6"/>
          <w:kern w:val="0"/>
          <w:sz w:val="32"/>
          <w:szCs w:val="32"/>
          <w:highlight w:val="none"/>
          <w:lang w:val="en-US" w:eastAsia="zh-CN" w:bidi="ar-SA"/>
        </w:rPr>
        <w:t>个权利主</w:t>
      </w:r>
      <w:r>
        <w:rPr>
          <w:rFonts w:hint="eastAsia" w:ascii="Times New Roman" w:hAnsi="Times New Roman" w:eastAsia="仿宋_GB2312" w:cs="Times New Roman"/>
          <w:color w:val="auto"/>
          <w:spacing w:val="-6"/>
          <w:kern w:val="2"/>
          <w:sz w:val="32"/>
          <w:szCs w:val="24"/>
          <w:highlight w:val="none"/>
          <w:lang w:val="en-US" w:eastAsia="zh-CN" w:bidi="ar-SA"/>
        </w:rPr>
        <w:t>体，黄圃镇政府已按照法律法规，就改造范围、土地现状、改造主体及拟改造情况等事项征询涉及所有权利人改造意愿，同意</w:t>
      </w:r>
      <w:r>
        <w:rPr>
          <w:rFonts w:hint="default" w:ascii="Times New Roman" w:hAnsi="Times New Roman" w:eastAsia="仿宋_GB2312" w:cs="Times New Roman"/>
          <w:color w:val="auto"/>
          <w:kern w:val="2"/>
          <w:sz w:val="32"/>
          <w:szCs w:val="32"/>
          <w:highlight w:val="none"/>
          <w:lang w:val="en-US" w:eastAsia="zh-CN" w:bidi="ar-SA"/>
        </w:rPr>
        <w:t>将涉及土地、房屋纳入改造范围</w:t>
      </w:r>
      <w:r>
        <w:rPr>
          <w:rFonts w:hint="default" w:ascii="Times New Roman" w:hAnsi="Times New Roman" w:eastAsia="仿宋_GB2312" w:cs="Times New Roman"/>
          <w:color w:val="000000"/>
          <w:spacing w:val="-6"/>
          <w:kern w:val="0"/>
          <w:sz w:val="32"/>
          <w:szCs w:val="32"/>
          <w:highlight w:val="none"/>
          <w:lang w:val="en-US" w:eastAsia="zh-CN" w:bidi="ar-SA"/>
        </w:rPr>
        <w:t>。</w:t>
      </w:r>
    </w:p>
    <w:p w14:paraId="7E72149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三、改造主体及拟改造情况</w:t>
      </w:r>
    </w:p>
    <w:p w14:paraId="60B2025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根据有关规划要求，改造项目严格按照</w:t>
      </w:r>
      <w:r>
        <w:rPr>
          <w:rFonts w:hint="default" w:ascii="Times New Roman" w:hAnsi="Times New Roman" w:eastAsia="仿宋_GB2312" w:cs="Times New Roman"/>
          <w:color w:val="auto"/>
          <w:spacing w:val="-6"/>
          <w:kern w:val="0"/>
          <w:sz w:val="32"/>
          <w:szCs w:val="32"/>
          <w:highlight w:val="none"/>
          <w:lang w:val="en-US" w:eastAsia="zh-CN"/>
        </w:rPr>
        <w:t>国土空间</w:t>
      </w:r>
      <w:r>
        <w:rPr>
          <w:rFonts w:hint="eastAsia" w:ascii="Times New Roman" w:hAnsi="Times New Roman" w:eastAsia="仿宋_GB2312" w:cs="Times New Roman"/>
          <w:color w:val="auto"/>
          <w:spacing w:val="-6"/>
          <w:kern w:val="0"/>
          <w:sz w:val="32"/>
          <w:szCs w:val="32"/>
          <w:highlight w:val="none"/>
          <w:lang w:val="en-US" w:eastAsia="zh-CN"/>
        </w:rPr>
        <w:t>总体</w:t>
      </w:r>
      <w:r>
        <w:rPr>
          <w:rFonts w:hint="default" w:ascii="Times New Roman" w:hAnsi="Times New Roman" w:eastAsia="仿宋_GB2312" w:cs="Times New Roman"/>
          <w:color w:val="auto"/>
          <w:spacing w:val="-6"/>
          <w:kern w:val="0"/>
          <w:sz w:val="32"/>
          <w:szCs w:val="32"/>
          <w:highlight w:val="none"/>
          <w:lang w:val="en-US" w:eastAsia="zh-CN"/>
        </w:rPr>
        <w:t>规划和</w:t>
      </w:r>
      <w:r>
        <w:rPr>
          <w:rFonts w:hint="default" w:ascii="Times New Roman" w:hAnsi="Times New Roman" w:eastAsia="仿宋_GB2312" w:cs="Times New Roman"/>
          <w:color w:val="auto"/>
          <w:spacing w:val="-6"/>
          <w:kern w:val="0"/>
          <w:sz w:val="32"/>
          <w:szCs w:val="32"/>
          <w:highlight w:val="none"/>
          <w:u w:val="none"/>
          <w:lang w:val="en-US" w:eastAsia="zh-CN"/>
        </w:rPr>
        <w:t>单元规划</w:t>
      </w:r>
      <w:r>
        <w:rPr>
          <w:rFonts w:hint="default" w:ascii="Times New Roman" w:hAnsi="Times New Roman" w:eastAsia="仿宋_GB2312" w:cs="Times New Roman"/>
          <w:color w:val="auto"/>
          <w:spacing w:val="-6"/>
          <w:kern w:val="0"/>
          <w:sz w:val="32"/>
          <w:szCs w:val="32"/>
          <w:highlight w:val="none"/>
        </w:rPr>
        <w:t>管控要求实施建设。</w:t>
      </w:r>
    </w:p>
    <w:p w14:paraId="591AD503">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spacing w:val="-6"/>
          <w:sz w:val="32"/>
          <w:highlight w:val="none"/>
        </w:rPr>
        <w:t>该改造项目属“工改工”宗地项目，拟采取权利人自主改造方式，</w:t>
      </w:r>
      <w:r>
        <w:rPr>
          <w:rFonts w:hint="eastAsia" w:ascii="Times New Roman" w:hAnsi="Times New Roman" w:eastAsia="仿宋_GB2312" w:cs="Times New Roman"/>
          <w:spacing w:val="-6"/>
          <w:sz w:val="32"/>
          <w:highlight w:val="none"/>
          <w:lang w:val="en-US" w:eastAsia="zh-CN"/>
        </w:rPr>
        <w:t>由</w:t>
      </w:r>
      <w:r>
        <w:rPr>
          <w:rFonts w:hint="eastAsia" w:ascii="Times New Roman" w:hAnsi="Times New Roman" w:eastAsia="仿宋_GB2312" w:cs="Times New Roman"/>
          <w:color w:val="auto"/>
          <w:spacing w:val="-6"/>
          <w:kern w:val="2"/>
          <w:sz w:val="32"/>
          <w:szCs w:val="24"/>
          <w:highlight w:val="none"/>
          <w:u w:val="none"/>
          <w:lang w:eastAsia="zh-CN"/>
        </w:rPr>
        <w:t>吴桂生、</w:t>
      </w:r>
      <w:bookmarkStart w:id="0" w:name="OLE_LINK1"/>
      <w:r>
        <w:rPr>
          <w:rFonts w:hint="eastAsia" w:ascii="Times New Roman" w:hAnsi="Times New Roman" w:eastAsia="仿宋_GB2312" w:cs="Times New Roman"/>
          <w:color w:val="auto"/>
          <w:spacing w:val="-6"/>
          <w:kern w:val="2"/>
          <w:sz w:val="32"/>
          <w:szCs w:val="24"/>
          <w:highlight w:val="none"/>
          <w:u w:val="none"/>
          <w:lang w:eastAsia="zh-CN"/>
        </w:rPr>
        <w:t>杜燕兰</w:t>
      </w:r>
      <w:bookmarkEnd w:id="0"/>
      <w:r>
        <w:rPr>
          <w:rFonts w:hint="eastAsia" w:ascii="Times New Roman" w:hAnsi="Times New Roman" w:eastAsia="仿宋_GB2312" w:cs="Times New Roman"/>
          <w:color w:val="auto"/>
          <w:spacing w:val="-6"/>
          <w:kern w:val="2"/>
          <w:sz w:val="32"/>
          <w:szCs w:val="24"/>
          <w:highlight w:val="none"/>
          <w:u w:val="none"/>
          <w:lang w:eastAsia="zh-CN"/>
        </w:rPr>
        <w:t>通过预告登记方式把改造地块转移登记到中山市金盈辉科技有限公司</w:t>
      </w:r>
      <w:r>
        <w:rPr>
          <w:rFonts w:hint="default" w:ascii="Times New Roman" w:hAnsi="Times New Roman" w:eastAsia="仿宋_GB2312" w:cs="Times New Roman"/>
          <w:spacing w:val="-6"/>
          <w:sz w:val="32"/>
          <w:highlight w:val="none"/>
        </w:rPr>
        <w:t>作为改造主体，实施</w:t>
      </w:r>
      <w:r>
        <w:rPr>
          <w:rFonts w:hint="default" w:ascii="Times New Roman" w:hAnsi="Times New Roman" w:eastAsia="仿宋_GB2312" w:cs="Times New Roman"/>
          <w:spacing w:val="-6"/>
          <w:sz w:val="32"/>
          <w:highlight w:val="none"/>
          <w:lang w:val="en-US" w:eastAsia="zh-CN"/>
        </w:rPr>
        <w:t>全面</w:t>
      </w:r>
      <w:r>
        <w:rPr>
          <w:rFonts w:hint="default" w:ascii="Times New Roman" w:hAnsi="Times New Roman" w:eastAsia="仿宋_GB2312" w:cs="Times New Roman"/>
          <w:spacing w:val="-6"/>
          <w:sz w:val="32"/>
          <w:highlight w:val="none"/>
        </w:rPr>
        <w:t>改造</w:t>
      </w:r>
      <w:r>
        <w:rPr>
          <w:rFonts w:hint="default" w:ascii="Times New Roman" w:hAnsi="Times New Roman" w:eastAsia="仿宋_GB2312" w:cs="Times New Roman"/>
          <w:color w:val="auto"/>
          <w:spacing w:val="-6"/>
          <w:kern w:val="0"/>
          <w:sz w:val="32"/>
          <w:szCs w:val="32"/>
          <w:highlight w:val="none"/>
        </w:rPr>
        <w:t>。改造后将用于</w:t>
      </w:r>
      <w:r>
        <w:rPr>
          <w:rFonts w:hint="default" w:ascii="Times New Roman" w:hAnsi="Times New Roman" w:eastAsia="仿宋_GB2312" w:cs="Times New Roman"/>
          <w:spacing w:val="-6"/>
          <w:sz w:val="32"/>
          <w:highlight w:val="none"/>
        </w:rPr>
        <w:t>工业生产，作</w:t>
      </w:r>
      <w:r>
        <w:rPr>
          <w:rFonts w:hint="eastAsia" w:ascii="仿宋_GB2312" w:hAnsi="仿宋_GB2312" w:eastAsia="仿宋_GB2312" w:cs="仿宋_GB2312"/>
          <w:spacing w:val="-6"/>
          <w:sz w:val="32"/>
          <w:szCs w:val="24"/>
          <w:highlight w:val="none"/>
          <w:lang w:val="en-US" w:eastAsia="zh-CN"/>
        </w:rPr>
        <w:t>智能</w:t>
      </w:r>
      <w:r>
        <w:rPr>
          <w:rFonts w:hint="eastAsia" w:ascii="仿宋_GB2312" w:hAnsi="仿宋_GB2312" w:eastAsia="仿宋_GB2312" w:cs="仿宋_GB2312"/>
          <w:spacing w:val="-6"/>
          <w:sz w:val="32"/>
          <w:szCs w:val="24"/>
          <w:highlight w:val="none"/>
        </w:rPr>
        <w:t>家电及</w:t>
      </w:r>
      <w:r>
        <w:rPr>
          <w:rFonts w:hint="eastAsia" w:ascii="仿宋_GB2312" w:hAnsi="仿宋_GB2312" w:eastAsia="仿宋_GB2312" w:cs="仿宋_GB2312"/>
          <w:spacing w:val="-6"/>
          <w:sz w:val="32"/>
          <w:szCs w:val="24"/>
          <w:highlight w:val="none"/>
          <w:lang w:val="en-US" w:eastAsia="zh-CN"/>
        </w:rPr>
        <w:t>智能制造的</w:t>
      </w:r>
      <w:r>
        <w:rPr>
          <w:rFonts w:hint="default" w:ascii="Times New Roman" w:hAnsi="Times New Roman" w:eastAsia="仿宋_GB2312" w:cs="Times New Roman"/>
          <w:spacing w:val="-6"/>
          <w:sz w:val="32"/>
          <w:highlight w:val="none"/>
          <w:lang w:val="en-US" w:eastAsia="zh-CN"/>
        </w:rPr>
        <w:t>研发和生产</w:t>
      </w:r>
      <w:r>
        <w:rPr>
          <w:rFonts w:hint="default" w:ascii="Times New Roman" w:hAnsi="Times New Roman" w:eastAsia="仿宋_GB2312" w:cs="Times New Roman"/>
          <w:color w:val="auto"/>
          <w:spacing w:val="-6"/>
          <w:kern w:val="0"/>
          <w:sz w:val="32"/>
          <w:szCs w:val="32"/>
          <w:highlight w:val="none"/>
          <w:lang w:val="en-US" w:eastAsia="zh-CN"/>
        </w:rPr>
        <w:t>为主。</w:t>
      </w:r>
      <w:r>
        <w:rPr>
          <w:rFonts w:hint="default" w:ascii="Times New Roman" w:hAnsi="Times New Roman" w:eastAsia="仿宋_GB2312" w:cs="Times New Roman"/>
          <w:spacing w:val="-6"/>
          <w:sz w:val="32"/>
          <w:szCs w:val="24"/>
          <w:highlight w:val="none"/>
        </w:rPr>
        <w:t>在符合单元规划的基础上，容积率不小于</w:t>
      </w:r>
      <w:r>
        <w:rPr>
          <w:rFonts w:hint="eastAsia" w:ascii="Times New Roman" w:hAnsi="Times New Roman" w:eastAsia="仿宋_GB2312" w:cs="Times New Roman"/>
          <w:spacing w:val="-6"/>
          <w:sz w:val="32"/>
          <w:szCs w:val="24"/>
          <w:highlight w:val="none"/>
          <w:lang w:val="en-US" w:eastAsia="zh-CN"/>
        </w:rPr>
        <w:t>2.5</w:t>
      </w:r>
      <w:r>
        <w:rPr>
          <w:rFonts w:hint="default" w:ascii="Times New Roman" w:hAnsi="Times New Roman" w:eastAsia="仿宋_GB2312" w:cs="Times New Roman"/>
          <w:spacing w:val="-6"/>
          <w:sz w:val="32"/>
          <w:szCs w:val="24"/>
          <w:highlight w:val="none"/>
          <w:lang w:val="en-US" w:eastAsia="zh-CN"/>
        </w:rPr>
        <w:t>，</w:t>
      </w:r>
      <w:r>
        <w:rPr>
          <w:rFonts w:hint="default" w:ascii="Times New Roman" w:hAnsi="Times New Roman" w:eastAsia="仿宋_GB2312" w:cs="Times New Roman"/>
          <w:color w:val="auto"/>
          <w:spacing w:val="-6"/>
          <w:kern w:val="0"/>
          <w:sz w:val="32"/>
          <w:szCs w:val="32"/>
          <w:highlight w:val="none"/>
        </w:rPr>
        <w:t>总建筑面积不小于</w:t>
      </w:r>
      <w:r>
        <w:rPr>
          <w:rFonts w:hint="eastAsia" w:ascii="Times New Roman" w:hAnsi="Times New Roman" w:eastAsia="仿宋_GB2312" w:cs="Times New Roman"/>
          <w:color w:val="auto"/>
          <w:spacing w:val="-6"/>
          <w:kern w:val="0"/>
          <w:sz w:val="32"/>
          <w:szCs w:val="32"/>
          <w:highlight w:val="none"/>
          <w:lang w:val="en-US" w:eastAsia="zh-CN"/>
        </w:rPr>
        <w:t>22815</w:t>
      </w:r>
      <w:r>
        <w:rPr>
          <w:rFonts w:hint="default" w:ascii="Times New Roman" w:hAnsi="Times New Roman" w:eastAsia="仿宋_GB2312" w:cs="Times New Roman"/>
          <w:color w:val="auto"/>
          <w:spacing w:val="-6"/>
          <w:kern w:val="0"/>
          <w:sz w:val="32"/>
          <w:szCs w:val="32"/>
          <w:highlight w:val="none"/>
        </w:rPr>
        <w:t>平方米，其中新建建筑面积</w:t>
      </w:r>
      <w:r>
        <w:rPr>
          <w:rFonts w:hint="eastAsia" w:ascii="Times New Roman" w:hAnsi="Times New Roman" w:eastAsia="仿宋_GB2312" w:cs="Times New Roman"/>
          <w:color w:val="auto"/>
          <w:spacing w:val="-6"/>
          <w:kern w:val="0"/>
          <w:sz w:val="32"/>
          <w:szCs w:val="32"/>
          <w:highlight w:val="none"/>
          <w:lang w:val="en-US" w:eastAsia="zh-CN"/>
        </w:rPr>
        <w:t>22815</w:t>
      </w:r>
      <w:r>
        <w:rPr>
          <w:rFonts w:hint="default" w:ascii="Times New Roman" w:hAnsi="Times New Roman" w:eastAsia="仿宋_GB2312" w:cs="Times New Roman"/>
          <w:color w:val="auto"/>
          <w:spacing w:val="-6"/>
          <w:kern w:val="0"/>
          <w:sz w:val="32"/>
          <w:szCs w:val="32"/>
          <w:highlight w:val="none"/>
        </w:rPr>
        <w:t>平方米</w:t>
      </w:r>
      <w:r>
        <w:rPr>
          <w:rFonts w:hint="default" w:ascii="Times New Roman" w:hAnsi="Times New Roman" w:eastAsia="仿宋_GB2312" w:cs="Times New Roman"/>
          <w:kern w:val="2"/>
          <w:sz w:val="32"/>
          <w:szCs w:val="32"/>
          <w:highlight w:val="none"/>
          <w:lang w:val="en-US" w:eastAsia="zh-CN" w:bidi="ar-SA"/>
        </w:rPr>
        <w:t>（无不计容建筑面积），不保留原有建筑</w:t>
      </w:r>
      <w:r>
        <w:rPr>
          <w:rFonts w:hint="default" w:ascii="Times New Roman" w:hAnsi="Times New Roman" w:eastAsia="仿宋_GB2312" w:cs="Times New Roman"/>
          <w:color w:val="auto"/>
          <w:spacing w:val="-6"/>
          <w:kern w:val="0"/>
          <w:sz w:val="32"/>
          <w:szCs w:val="32"/>
          <w:highlight w:val="none"/>
        </w:rPr>
        <w:t>。</w:t>
      </w:r>
    </w:p>
    <w:p w14:paraId="09D7CCE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default" w:ascii="Times New Roman" w:hAnsi="Times New Roman" w:eastAsia="仿宋_GB2312" w:cs="Times New Roman"/>
          <w:spacing w:val="-6"/>
          <w:sz w:val="32"/>
          <w:highlight w:val="none"/>
          <w:lang w:val="en-US" w:eastAsia="zh-CN"/>
        </w:rPr>
        <w:t>项目相关情况符合《产业结构调整指导目录》《中山市“三线一单”生态环境分区管控方案》《中山市涉挥发性有机物项目环保管理规定》相关规定。</w:t>
      </w:r>
      <w:r>
        <w:rPr>
          <w:rFonts w:hint="eastAsia" w:ascii="仿宋_GB2312" w:hAnsi="仿宋_GB2312" w:eastAsia="仿宋_GB2312" w:cs="仿宋_GB2312"/>
          <w:spacing w:val="-6"/>
          <w:sz w:val="32"/>
          <w:szCs w:val="24"/>
          <w:highlight w:val="none"/>
        </w:rPr>
        <w:t>改造项目自约定竣工</w:t>
      </w:r>
      <w:r>
        <w:rPr>
          <w:rFonts w:hint="eastAsia" w:ascii="仿宋_GB2312" w:hAnsi="仿宋_GB2312" w:eastAsia="仿宋_GB2312" w:cs="仿宋_GB2312"/>
          <w:color w:val="000000"/>
          <w:kern w:val="2"/>
          <w:sz w:val="32"/>
          <w:szCs w:val="32"/>
          <w:highlight w:val="none"/>
          <w:lang w:val="en-US" w:eastAsia="zh-CN"/>
        </w:rPr>
        <w:t>当年</w:t>
      </w:r>
      <w:r>
        <w:rPr>
          <w:rFonts w:hint="eastAsia" w:ascii="仿宋_GB2312" w:hAnsi="仿宋_GB2312" w:eastAsia="仿宋_GB2312" w:cs="仿宋_GB2312"/>
          <w:spacing w:val="-6"/>
          <w:sz w:val="32"/>
          <w:szCs w:val="24"/>
          <w:highlight w:val="none"/>
        </w:rPr>
        <w:t>（即2027年）</w:t>
      </w:r>
      <w:r>
        <w:rPr>
          <w:rFonts w:hint="eastAsia" w:ascii="仿宋_GB2312" w:hAnsi="仿宋_GB2312" w:eastAsia="仿宋_GB2312" w:cs="仿宋_GB2312"/>
          <w:color w:val="000000"/>
          <w:kern w:val="2"/>
          <w:sz w:val="32"/>
          <w:szCs w:val="32"/>
          <w:highlight w:val="none"/>
          <w:lang w:val="en-US" w:eastAsia="zh-CN"/>
        </w:rPr>
        <w:t>起五个完整自然年度内</w:t>
      </w:r>
      <w:r>
        <w:rPr>
          <w:rFonts w:hint="eastAsia" w:ascii="仿宋_GB2312" w:hAnsi="仿宋_GB2312" w:eastAsia="仿宋_GB2312" w:cs="仿宋_GB2312"/>
          <w:spacing w:val="-6"/>
          <w:sz w:val="32"/>
          <w:szCs w:val="24"/>
          <w:highlight w:val="none"/>
        </w:rPr>
        <w:t>，</w:t>
      </w:r>
      <w:r>
        <w:rPr>
          <w:rFonts w:hint="eastAsia" w:ascii="仿宋_GB2312" w:hAnsi="仿宋_GB2312" w:eastAsia="仿宋_GB2312" w:cs="仿宋_GB2312"/>
          <w:color w:val="000000"/>
          <w:kern w:val="2"/>
          <w:sz w:val="32"/>
          <w:szCs w:val="32"/>
          <w:highlight w:val="none"/>
          <w:lang w:val="en-US" w:eastAsia="zh-CN"/>
        </w:rPr>
        <w:t>须其中一个完整自然年年产值不少于</w:t>
      </w:r>
      <w:r>
        <w:rPr>
          <w:rFonts w:hint="eastAsia" w:ascii="Times New Roman" w:hAnsi="Times New Roman" w:eastAsia="仿宋_GB2312" w:cs="Times New Roman"/>
          <w:spacing w:val="-6"/>
          <w:sz w:val="32"/>
          <w:highlight w:val="none"/>
          <w:lang w:val="en-US" w:eastAsia="zh-CN"/>
        </w:rPr>
        <w:t>8213.4</w:t>
      </w:r>
      <w:r>
        <w:rPr>
          <w:rFonts w:hint="eastAsia" w:ascii="仿宋_GB2312" w:hAnsi="仿宋_GB2312" w:eastAsia="仿宋_GB2312" w:cs="仿宋_GB2312"/>
          <w:spacing w:val="-6"/>
          <w:sz w:val="32"/>
          <w:szCs w:val="24"/>
          <w:highlight w:val="none"/>
        </w:rPr>
        <w:t>万元（约</w:t>
      </w:r>
      <w:r>
        <w:rPr>
          <w:rFonts w:hint="eastAsia" w:ascii="仿宋_GB2312" w:hAnsi="仿宋_GB2312" w:eastAsia="仿宋_GB2312" w:cs="仿宋_GB2312"/>
          <w:spacing w:val="-6"/>
          <w:sz w:val="32"/>
          <w:szCs w:val="24"/>
          <w:highlight w:val="none"/>
          <w:lang w:val="en-US" w:eastAsia="zh-CN"/>
        </w:rPr>
        <w:t>600</w:t>
      </w:r>
      <w:r>
        <w:rPr>
          <w:rFonts w:hint="eastAsia" w:ascii="仿宋_GB2312" w:hAnsi="仿宋_GB2312" w:eastAsia="仿宋_GB2312" w:cs="仿宋_GB2312"/>
          <w:spacing w:val="-6"/>
          <w:sz w:val="32"/>
          <w:szCs w:val="24"/>
          <w:highlight w:val="none"/>
        </w:rPr>
        <w:t>万元/亩）；改造项目</w:t>
      </w:r>
      <w:r>
        <w:rPr>
          <w:rFonts w:hint="eastAsia" w:ascii="仿宋_GB2312" w:hAnsi="仿宋_GB2312" w:eastAsia="仿宋_GB2312" w:cs="仿宋_GB2312"/>
          <w:color w:val="000000"/>
          <w:kern w:val="2"/>
          <w:sz w:val="32"/>
          <w:szCs w:val="32"/>
          <w:highlight w:val="none"/>
          <w:lang w:val="en-US" w:eastAsia="zh-CN"/>
        </w:rPr>
        <w:t>自约定竣工当年（</w:t>
      </w:r>
      <w:r>
        <w:rPr>
          <w:rFonts w:hint="eastAsia" w:ascii="仿宋_GB2312" w:hAnsi="仿宋_GB2312" w:eastAsia="仿宋_GB2312" w:cs="仿宋_GB2312"/>
          <w:spacing w:val="-6"/>
          <w:sz w:val="32"/>
          <w:szCs w:val="24"/>
          <w:highlight w:val="none"/>
        </w:rPr>
        <w:t>即2027年）</w:t>
      </w:r>
      <w:r>
        <w:rPr>
          <w:rFonts w:hint="eastAsia" w:ascii="仿宋_GB2312" w:hAnsi="仿宋_GB2312" w:eastAsia="仿宋_GB2312" w:cs="仿宋_GB2312"/>
          <w:color w:val="000000"/>
          <w:kern w:val="2"/>
          <w:sz w:val="32"/>
          <w:szCs w:val="32"/>
          <w:highlight w:val="none"/>
          <w:lang w:val="en-US" w:eastAsia="zh-CN"/>
        </w:rPr>
        <w:t>起五个完整自然年度内，须其中一个完整自然年年税收不少于</w:t>
      </w:r>
      <w:r>
        <w:rPr>
          <w:rFonts w:hint="eastAsia" w:ascii="Times New Roman" w:hAnsi="Times New Roman" w:eastAsia="仿宋_GB2312" w:cs="Times New Roman"/>
          <w:spacing w:val="-6"/>
          <w:sz w:val="32"/>
          <w:highlight w:val="none"/>
          <w:lang w:val="en-US" w:eastAsia="zh-CN"/>
        </w:rPr>
        <w:t>273.78</w:t>
      </w:r>
      <w:r>
        <w:rPr>
          <w:rFonts w:hint="eastAsia" w:ascii="仿宋_GB2312" w:hAnsi="仿宋_GB2312" w:eastAsia="仿宋_GB2312" w:cs="仿宋_GB2312"/>
          <w:spacing w:val="-6"/>
          <w:sz w:val="32"/>
          <w:szCs w:val="24"/>
          <w:highlight w:val="none"/>
        </w:rPr>
        <w:t>万元（约2</w:t>
      </w:r>
      <w:r>
        <w:rPr>
          <w:rFonts w:hint="eastAsia" w:ascii="仿宋_GB2312" w:hAnsi="仿宋_GB2312" w:eastAsia="仿宋_GB2312" w:cs="仿宋_GB2312"/>
          <w:spacing w:val="-6"/>
          <w:sz w:val="32"/>
          <w:szCs w:val="24"/>
          <w:highlight w:val="none"/>
          <w:lang w:val="en-US" w:eastAsia="zh-CN"/>
        </w:rPr>
        <w:t>0</w:t>
      </w:r>
      <w:r>
        <w:rPr>
          <w:rFonts w:hint="eastAsia" w:ascii="仿宋_GB2312" w:hAnsi="仿宋_GB2312" w:eastAsia="仿宋_GB2312" w:cs="仿宋_GB2312"/>
          <w:spacing w:val="-6"/>
          <w:sz w:val="32"/>
          <w:szCs w:val="24"/>
          <w:highlight w:val="none"/>
        </w:rPr>
        <w:t>万元/亩）</w:t>
      </w:r>
      <w:r>
        <w:rPr>
          <w:rFonts w:hint="eastAsia" w:ascii="仿宋_GB2312" w:hAnsi="仿宋_GB2312" w:eastAsia="仿宋_GB2312" w:cs="仿宋_GB2312"/>
          <w:spacing w:val="-6"/>
          <w:sz w:val="32"/>
          <w:szCs w:val="24"/>
          <w:highlight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项目不涉及分割销售。</w:t>
      </w:r>
    </w:p>
    <w:p w14:paraId="696493D8">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eastAsia" w:ascii="Times New Roman" w:hAnsi="Times New Roman" w:eastAsia="黑体" w:cs="Times New Roman"/>
          <w:color w:val="auto"/>
          <w:spacing w:val="-6"/>
          <w:kern w:val="0"/>
          <w:sz w:val="32"/>
          <w:szCs w:val="32"/>
          <w:highlight w:val="none"/>
          <w:lang w:val="en-US" w:eastAsia="zh-CN"/>
        </w:rPr>
        <w:t>四</w:t>
      </w:r>
      <w:r>
        <w:rPr>
          <w:rFonts w:hint="default" w:ascii="Times New Roman" w:hAnsi="Times New Roman" w:eastAsia="黑体" w:cs="Times New Roman"/>
          <w:color w:val="auto"/>
          <w:spacing w:val="-6"/>
          <w:kern w:val="0"/>
          <w:sz w:val="32"/>
          <w:szCs w:val="32"/>
          <w:highlight w:val="none"/>
        </w:rPr>
        <w:t>、</w:t>
      </w:r>
      <w:r>
        <w:rPr>
          <w:rFonts w:hint="eastAsia" w:ascii="Times New Roman" w:hAnsi="Times New Roman" w:eastAsia="黑体" w:cs="Times New Roman"/>
          <w:color w:val="auto"/>
          <w:spacing w:val="-6"/>
          <w:kern w:val="0"/>
          <w:sz w:val="32"/>
          <w:szCs w:val="32"/>
          <w:highlight w:val="none"/>
          <w:lang w:val="en-US" w:eastAsia="zh-CN"/>
        </w:rPr>
        <w:t>需办理的用地手续</w:t>
      </w:r>
    </w:p>
    <w:p w14:paraId="2CB05D5C">
      <w:pPr>
        <w:pStyle w:val="2"/>
        <w:spacing w:before="0" w:after="0" w:line="574" w:lineRule="exact"/>
        <w:ind w:firstLine="616" w:firstLineChars="200"/>
        <w:rPr>
          <w:rFonts w:hint="eastAsia" w:ascii="仿宋_GB2312" w:hAnsi="仿宋_GB2312" w:eastAsia="仿宋_GB2312" w:cs="仿宋_GB2312"/>
          <w:b w:val="0"/>
          <w:bCs w:val="0"/>
          <w:color w:val="000000"/>
          <w:spacing w:val="-6"/>
          <w:kern w:val="2"/>
          <w:sz w:val="32"/>
          <w:szCs w:val="24"/>
          <w:highlight w:val="none"/>
          <w:u w:val="none"/>
        </w:rPr>
      </w:pPr>
      <w:r>
        <w:rPr>
          <w:rFonts w:hint="eastAsia" w:ascii="仿宋_GB2312" w:hAnsi="仿宋_GB2312" w:eastAsia="仿宋_GB2312" w:cs="仿宋_GB2312"/>
          <w:b w:val="0"/>
          <w:bCs w:val="0"/>
          <w:color w:val="auto"/>
          <w:spacing w:val="-6"/>
          <w:kern w:val="2"/>
          <w:sz w:val="32"/>
          <w:szCs w:val="24"/>
          <w:highlight w:val="none"/>
          <w:u w:val="none"/>
          <w:lang w:eastAsia="zh-CN"/>
        </w:rPr>
        <w:t>在</w:t>
      </w:r>
      <w:r>
        <w:rPr>
          <w:rFonts w:hint="eastAsia" w:ascii="仿宋_GB2312" w:hAnsi="仿宋_GB2312" w:eastAsia="仿宋_GB2312" w:cs="仿宋_GB2312"/>
          <w:b w:val="0"/>
          <w:bCs w:val="0"/>
          <w:color w:val="000000"/>
          <w:spacing w:val="-6"/>
          <w:kern w:val="2"/>
          <w:sz w:val="32"/>
          <w:szCs w:val="24"/>
          <w:highlight w:val="none"/>
          <w:u w:val="none"/>
        </w:rPr>
        <w:t>改造方案</w:t>
      </w:r>
      <w:r>
        <w:rPr>
          <w:rFonts w:hint="eastAsia" w:ascii="仿宋_GB2312" w:hAnsi="仿宋_GB2312" w:eastAsia="仿宋_GB2312" w:cs="仿宋_GB2312"/>
          <w:b w:val="0"/>
          <w:bCs w:val="0"/>
          <w:color w:val="auto"/>
          <w:spacing w:val="-6"/>
          <w:kern w:val="2"/>
          <w:sz w:val="32"/>
          <w:szCs w:val="24"/>
          <w:highlight w:val="none"/>
          <w:u w:val="none"/>
          <w:lang w:val="en-US" w:eastAsia="zh-CN"/>
        </w:rPr>
        <w:t>批复后吴桂生、杜燕兰及中山市金盈辉科技有限公司</w:t>
      </w:r>
      <w:r>
        <w:rPr>
          <w:rFonts w:hint="eastAsia" w:ascii="仿宋_GB2312" w:hAnsi="仿宋_GB2312" w:eastAsia="仿宋_GB2312" w:cs="仿宋_GB2312"/>
          <w:b w:val="0"/>
          <w:bCs w:val="0"/>
          <w:color w:val="auto"/>
          <w:spacing w:val="-6"/>
          <w:kern w:val="2"/>
          <w:sz w:val="32"/>
          <w:szCs w:val="24"/>
          <w:highlight w:val="none"/>
          <w:u w:val="none"/>
        </w:rPr>
        <w:t>签订国有建设用地使用权转让合同后依法办理预告登记，待</w:t>
      </w:r>
      <w:r>
        <w:rPr>
          <w:rFonts w:hint="eastAsia" w:ascii="仿宋_GB2312" w:hAnsi="仿宋_GB2312" w:eastAsia="仿宋_GB2312" w:cs="仿宋_GB2312"/>
          <w:b w:val="0"/>
          <w:bCs w:val="0"/>
          <w:color w:val="auto"/>
          <w:spacing w:val="-6"/>
          <w:kern w:val="2"/>
          <w:sz w:val="32"/>
          <w:szCs w:val="24"/>
          <w:highlight w:val="none"/>
          <w:u w:val="none"/>
          <w:lang w:val="en-US" w:eastAsia="zh-CN"/>
        </w:rPr>
        <w:t>改造地块</w:t>
      </w:r>
      <w:r>
        <w:rPr>
          <w:rFonts w:hint="eastAsia" w:ascii="仿宋_GB2312" w:hAnsi="仿宋_GB2312" w:eastAsia="仿宋_GB2312" w:cs="仿宋_GB2312"/>
          <w:b w:val="0"/>
          <w:bCs w:val="0"/>
          <w:color w:val="auto"/>
          <w:spacing w:val="-6"/>
          <w:kern w:val="2"/>
          <w:sz w:val="32"/>
          <w:szCs w:val="24"/>
          <w:highlight w:val="none"/>
          <w:u w:val="none"/>
        </w:rPr>
        <w:t>开发投资达到转让条件时，</w:t>
      </w:r>
      <w:r>
        <w:rPr>
          <w:rFonts w:hint="eastAsia" w:ascii="仿宋_GB2312" w:hAnsi="仿宋_GB2312" w:eastAsia="仿宋_GB2312" w:cs="仿宋_GB2312"/>
          <w:b w:val="0"/>
          <w:bCs w:val="0"/>
          <w:color w:val="auto"/>
          <w:spacing w:val="-6"/>
          <w:kern w:val="2"/>
          <w:sz w:val="32"/>
          <w:szCs w:val="24"/>
          <w:highlight w:val="none"/>
          <w:u w:val="none"/>
          <w:lang w:val="en-US" w:eastAsia="zh-CN"/>
        </w:rPr>
        <w:t>把改造地块转移登记到</w:t>
      </w:r>
      <w:r>
        <w:rPr>
          <w:rFonts w:hint="eastAsia" w:ascii="仿宋_GB2312" w:hAnsi="仿宋_GB2312" w:eastAsia="仿宋_GB2312" w:cs="仿宋_GB2312"/>
          <w:b w:val="0"/>
          <w:bCs w:val="0"/>
          <w:color w:val="auto"/>
          <w:spacing w:val="-6"/>
          <w:kern w:val="2"/>
          <w:sz w:val="32"/>
          <w:szCs w:val="24"/>
          <w:highlight w:val="none"/>
          <w:u w:val="none"/>
          <w:lang w:eastAsia="zh-CN"/>
        </w:rPr>
        <w:t>中山市金盈辉科技有限公司</w:t>
      </w:r>
      <w:r>
        <w:rPr>
          <w:rFonts w:hint="eastAsia" w:ascii="仿宋_GB2312" w:hAnsi="仿宋_GB2312" w:eastAsia="仿宋_GB2312" w:cs="仿宋_GB2312"/>
          <w:b w:val="0"/>
          <w:bCs w:val="0"/>
          <w:color w:val="auto"/>
          <w:spacing w:val="-6"/>
          <w:kern w:val="2"/>
          <w:sz w:val="32"/>
          <w:szCs w:val="24"/>
          <w:highlight w:val="none"/>
          <w:u w:val="none"/>
        </w:rPr>
        <w:t>名下</w:t>
      </w:r>
      <w:r>
        <w:rPr>
          <w:rFonts w:hint="eastAsia" w:ascii="仿宋_GB2312" w:hAnsi="仿宋_GB2312" w:eastAsia="仿宋_GB2312" w:cs="仿宋_GB2312"/>
          <w:b w:val="0"/>
          <w:bCs w:val="0"/>
          <w:color w:val="000000"/>
          <w:spacing w:val="-6"/>
          <w:kern w:val="2"/>
          <w:sz w:val="32"/>
          <w:szCs w:val="24"/>
          <w:highlight w:val="none"/>
          <w:u w:val="none"/>
        </w:rPr>
        <w:t>。</w:t>
      </w:r>
    </w:p>
    <w:p w14:paraId="2896AE07">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资金筹措</w:t>
      </w:r>
    </w:p>
    <w:p w14:paraId="68F581D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default" w:ascii="Times New Roman" w:hAnsi="Times New Roman" w:eastAsia="仿宋_GB2312" w:cs="Times New Roman"/>
          <w:color w:val="auto"/>
          <w:spacing w:val="-6"/>
          <w:kern w:val="0"/>
          <w:sz w:val="32"/>
          <w:szCs w:val="32"/>
          <w:highlight w:val="none"/>
          <w:lang w:eastAsia="zh-CN"/>
        </w:rPr>
      </w:pPr>
      <w:r>
        <w:rPr>
          <w:rFonts w:hint="default" w:ascii="Times New Roman" w:hAnsi="Times New Roman" w:eastAsia="仿宋_GB2312" w:cs="Times New Roman"/>
          <w:color w:val="auto"/>
          <w:spacing w:val="-6"/>
          <w:kern w:val="0"/>
          <w:sz w:val="32"/>
          <w:szCs w:val="32"/>
          <w:highlight w:val="none"/>
        </w:rPr>
        <w:t>改造主体拟投入资金</w:t>
      </w:r>
      <w:r>
        <w:rPr>
          <w:rFonts w:hint="eastAsia" w:ascii="Times New Roman" w:hAnsi="Times New Roman" w:eastAsia="仿宋_GB2312" w:cs="Times New Roman"/>
          <w:color w:val="auto"/>
          <w:spacing w:val="-6"/>
          <w:sz w:val="32"/>
          <w:szCs w:val="32"/>
          <w:highlight w:val="none"/>
          <w:lang w:val="en-US" w:eastAsia="zh-CN"/>
        </w:rPr>
        <w:t>5475.6</w:t>
      </w:r>
      <w:r>
        <w:rPr>
          <w:rFonts w:hint="default" w:ascii="Times New Roman" w:hAnsi="Times New Roman" w:eastAsia="仿宋_GB2312" w:cs="Times New Roman"/>
          <w:color w:val="auto"/>
          <w:spacing w:val="-6"/>
          <w:kern w:val="0"/>
          <w:sz w:val="32"/>
          <w:szCs w:val="32"/>
          <w:highlight w:val="none"/>
        </w:rPr>
        <w:t>万元，其中自有资金</w:t>
      </w:r>
      <w:r>
        <w:rPr>
          <w:rFonts w:hint="eastAsia" w:ascii="Times New Roman" w:hAnsi="Times New Roman" w:eastAsia="仿宋_GB2312" w:cs="Times New Roman"/>
          <w:color w:val="auto"/>
          <w:spacing w:val="-6"/>
          <w:kern w:val="0"/>
          <w:sz w:val="32"/>
          <w:szCs w:val="32"/>
          <w:highlight w:val="none"/>
          <w:u w:val="none"/>
          <w:lang w:val="en-US" w:eastAsia="zh-CN"/>
        </w:rPr>
        <w:t>2</w:t>
      </w:r>
      <w:r>
        <w:rPr>
          <w:rFonts w:hint="default" w:ascii="Times New Roman" w:hAnsi="Times New Roman" w:eastAsia="仿宋_GB2312" w:cs="Times New Roman"/>
          <w:color w:val="auto"/>
          <w:spacing w:val="-6"/>
          <w:kern w:val="0"/>
          <w:sz w:val="32"/>
          <w:szCs w:val="32"/>
          <w:highlight w:val="none"/>
          <w:u w:val="none"/>
          <w:lang w:val="en-US" w:eastAsia="zh-CN"/>
        </w:rPr>
        <w:t>000</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银行借贷</w:t>
      </w:r>
      <w:r>
        <w:rPr>
          <w:rFonts w:hint="eastAsia" w:ascii="Times New Roman" w:hAnsi="Times New Roman" w:eastAsia="仿宋_GB2312" w:cs="Times New Roman"/>
          <w:color w:val="auto"/>
          <w:spacing w:val="-6"/>
          <w:sz w:val="32"/>
          <w:szCs w:val="32"/>
          <w:highlight w:val="none"/>
          <w:lang w:val="en-US" w:eastAsia="zh-CN"/>
        </w:rPr>
        <w:t>3475.6</w:t>
      </w:r>
      <w:r>
        <w:rPr>
          <w:rFonts w:hint="default" w:ascii="Times New Roman" w:hAnsi="Times New Roman" w:eastAsia="仿宋_GB2312" w:cs="Times New Roman"/>
          <w:color w:val="auto"/>
          <w:spacing w:val="-6"/>
          <w:kern w:val="0"/>
          <w:sz w:val="32"/>
          <w:szCs w:val="32"/>
          <w:highlight w:val="none"/>
          <w:lang w:val="en-US" w:eastAsia="zh-CN"/>
        </w:rPr>
        <w:t>万元</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spacing w:val="-6"/>
          <w:kern w:val="0"/>
          <w:sz w:val="32"/>
          <w:szCs w:val="32"/>
          <w:highlight w:val="none"/>
          <w:lang w:eastAsia="zh-CN"/>
        </w:rPr>
        <w:t>（</w:t>
      </w:r>
      <w:r>
        <w:rPr>
          <w:rFonts w:hint="default" w:ascii="Times New Roman" w:hAnsi="Times New Roman" w:eastAsia="仿宋_GB2312" w:cs="Times New Roman"/>
          <w:color w:val="auto"/>
          <w:spacing w:val="-6"/>
          <w:kern w:val="0"/>
          <w:sz w:val="32"/>
          <w:szCs w:val="32"/>
          <w:highlight w:val="none"/>
          <w:lang w:val="en-US" w:eastAsia="zh-CN"/>
        </w:rPr>
        <w:t>最终以实</w:t>
      </w:r>
      <w:r>
        <w:rPr>
          <w:rFonts w:hint="eastAsia" w:ascii="Times New Roman" w:hAnsi="Times New Roman" w:eastAsia="仿宋_GB2312" w:cs="Times New Roman"/>
          <w:color w:val="auto"/>
          <w:spacing w:val="-6"/>
          <w:kern w:val="0"/>
          <w:sz w:val="32"/>
          <w:szCs w:val="32"/>
          <w:highlight w:val="none"/>
          <w:lang w:val="en-US" w:eastAsia="zh-CN"/>
        </w:rPr>
        <w:t>际投入资金为准</w:t>
      </w:r>
      <w:r>
        <w:rPr>
          <w:rFonts w:hint="default" w:ascii="Times New Roman" w:hAnsi="Times New Roman" w:eastAsia="仿宋_GB2312" w:cs="Times New Roman"/>
          <w:color w:val="auto"/>
          <w:spacing w:val="-6"/>
          <w:kern w:val="0"/>
          <w:sz w:val="32"/>
          <w:szCs w:val="32"/>
          <w:highlight w:val="none"/>
          <w:lang w:eastAsia="zh-CN"/>
        </w:rPr>
        <w:t>）</w:t>
      </w:r>
    </w:p>
    <w:p w14:paraId="4B2E1A39">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开发时序</w:t>
      </w:r>
    </w:p>
    <w:p w14:paraId="529D4B16">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textAlignment w:val="auto"/>
        <w:outlineLvl w:val="9"/>
        <w:rPr>
          <w:rFonts w:hint="default" w:ascii="Times New Roman" w:hAnsi="Times New Roman" w:eastAsia="宋体" w:cs="Times New Roman"/>
          <w:b w:val="0"/>
          <w:bCs w:val="0"/>
          <w:color w:val="auto"/>
          <w:spacing w:val="-6"/>
          <w:kern w:val="0"/>
          <w:sz w:val="32"/>
          <w:szCs w:val="32"/>
          <w:highlight w:val="none"/>
          <w:lang w:val="en-US" w:eastAsia="zh-CN" w:bidi="ar-SA"/>
        </w:rPr>
      </w:pPr>
      <w:r>
        <w:rPr>
          <w:rFonts w:hint="eastAsia" w:ascii="仿宋_GB2312" w:hAnsi="仿宋_GB2312" w:eastAsia="仿宋_GB2312" w:cs="仿宋_GB2312"/>
          <w:spacing w:val="-6"/>
          <w:sz w:val="32"/>
          <w:szCs w:val="24"/>
          <w:highlight w:val="none"/>
          <w:lang w:val="en-US" w:eastAsia="zh-CN"/>
        </w:rPr>
        <w:t>项目</w:t>
      </w:r>
      <w:r>
        <w:rPr>
          <w:rFonts w:hint="eastAsia" w:ascii="仿宋_GB2312" w:hAnsi="仿宋_GB2312" w:eastAsia="仿宋_GB2312" w:cs="仿宋_GB2312"/>
          <w:spacing w:val="-6"/>
          <w:sz w:val="32"/>
          <w:szCs w:val="24"/>
          <w:highlight w:val="none"/>
        </w:rPr>
        <w:t>开发时间为</w:t>
      </w:r>
      <w:r>
        <w:rPr>
          <w:rFonts w:hint="eastAsia" w:ascii="仿宋_GB2312" w:hAnsi="仿宋_GB2312" w:eastAsia="仿宋_GB2312" w:cs="仿宋_GB2312"/>
          <w:spacing w:val="-6"/>
          <w:sz w:val="32"/>
          <w:szCs w:val="24"/>
          <w:highlight w:val="none"/>
          <w:lang w:val="en-US" w:eastAsia="zh-CN"/>
        </w:rPr>
        <w:t>自改造方案批复之日起182日内动工，自动工之日起365日内竣工</w:t>
      </w:r>
      <w:r>
        <w:rPr>
          <w:rFonts w:hint="eastAsia" w:ascii="仿宋_GB2312" w:hAnsi="仿宋_GB2312" w:eastAsia="仿宋_GB2312" w:cs="仿宋_GB2312"/>
          <w:spacing w:val="-6"/>
          <w:sz w:val="32"/>
          <w:szCs w:val="24"/>
          <w:highlight w:val="none"/>
          <w:lang w:val="en-US" w:eastAsia="zh-CN"/>
        </w:rPr>
        <w:t>。</w:t>
      </w:r>
    </w:p>
    <w:p w14:paraId="3F406AB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textAlignment w:val="auto"/>
        <w:outlineLvl w:val="0"/>
        <w:rPr>
          <w:rFonts w:ascii="Times New Roman" w:hAnsi="Times New Roman" w:eastAsia="黑体"/>
          <w:color w:val="auto"/>
          <w:spacing w:val="-6"/>
          <w:kern w:val="0"/>
          <w:sz w:val="32"/>
          <w:szCs w:val="32"/>
          <w:highlight w:val="none"/>
        </w:rPr>
      </w:pPr>
      <w:r>
        <w:rPr>
          <w:rFonts w:hint="eastAsia" w:ascii="Times New Roman" w:hAnsi="Times New Roman" w:eastAsia="黑体"/>
          <w:color w:val="auto"/>
          <w:spacing w:val="-6"/>
          <w:kern w:val="0"/>
          <w:sz w:val="32"/>
          <w:szCs w:val="32"/>
          <w:highlight w:val="none"/>
          <w:lang w:val="en-US" w:eastAsia="zh-CN"/>
        </w:rPr>
        <w:t>六</w:t>
      </w:r>
      <w:r>
        <w:rPr>
          <w:rFonts w:hint="default" w:ascii="Times New Roman" w:hAnsi="Times New Roman" w:eastAsia="黑体"/>
          <w:color w:val="auto"/>
          <w:spacing w:val="-6"/>
          <w:kern w:val="0"/>
          <w:sz w:val="32"/>
          <w:szCs w:val="32"/>
          <w:highlight w:val="none"/>
        </w:rPr>
        <w:t>、实施监管</w:t>
      </w:r>
      <w:bookmarkStart w:id="1" w:name="_GoBack"/>
      <w:bookmarkEnd w:id="1"/>
    </w:p>
    <w:p w14:paraId="6D9E131C">
      <w:pPr>
        <w:spacing w:line="240" w:lineRule="auto"/>
        <w:ind w:firstLine="616" w:firstLineChars="200"/>
        <w:rPr>
          <w:rFonts w:ascii="Times New Roman" w:hAnsi="Times New Roman"/>
          <w:highlight w:val="none"/>
        </w:rPr>
      </w:pPr>
      <w:r>
        <w:rPr>
          <w:rFonts w:hint="default" w:ascii="Times New Roman" w:hAnsi="Times New Roman" w:eastAsia="仿宋_GB2312" w:cs="Times New Roman"/>
          <w:color w:val="auto"/>
          <w:spacing w:val="-6"/>
          <w:kern w:val="0"/>
          <w:sz w:val="32"/>
          <w:szCs w:val="32"/>
          <w:highlight w:val="none"/>
          <w:u w:val="none"/>
          <w:lang w:eastAsia="zh-CN"/>
        </w:rPr>
        <w:t>详见项目实施监管协议</w:t>
      </w:r>
      <w:r>
        <w:rPr>
          <w:rFonts w:hint="default" w:ascii="Times New Roman" w:hAnsi="Times New Roman" w:eastAsia="仿宋_GB2312" w:cs="Times New Roman"/>
          <w:color w:val="000000"/>
          <w:spacing w:val="-6"/>
          <w:kern w:val="0"/>
          <w:sz w:val="32"/>
          <w:szCs w:val="32"/>
          <w:highlight w:val="none"/>
          <w:u w:val="none"/>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2F9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0DF98">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E0DF98">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DAFBE"/>
    <w:multiLevelType w:val="singleLevel"/>
    <w:tmpl w:val="13CDAFBE"/>
    <w:lvl w:ilvl="0" w:tentative="0">
      <w:start w:val="2"/>
      <w:numFmt w:val="chineseCounting"/>
      <w:suff w:val="nothing"/>
      <w:lvlText w:val="%1、"/>
      <w:lvlJc w:val="left"/>
      <w:rPr>
        <w:rFonts w:hint="eastAsia"/>
      </w:rPr>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jkyZWM2M2RlOGI4NGU0ZGFlYjViOGJhNzBhZWYifQ=="/>
  </w:docVars>
  <w:rsids>
    <w:rsidRoot w:val="00000000"/>
    <w:rsid w:val="002A5B0B"/>
    <w:rsid w:val="003702AF"/>
    <w:rsid w:val="00DE29F7"/>
    <w:rsid w:val="01B361CC"/>
    <w:rsid w:val="021D5110"/>
    <w:rsid w:val="02C9625F"/>
    <w:rsid w:val="031565E5"/>
    <w:rsid w:val="03651F81"/>
    <w:rsid w:val="03B95D46"/>
    <w:rsid w:val="03ED58CB"/>
    <w:rsid w:val="04484347"/>
    <w:rsid w:val="04B44530"/>
    <w:rsid w:val="04D42B5F"/>
    <w:rsid w:val="05427C8C"/>
    <w:rsid w:val="054B3BB1"/>
    <w:rsid w:val="05870A10"/>
    <w:rsid w:val="05A650F7"/>
    <w:rsid w:val="063C4668"/>
    <w:rsid w:val="067C069D"/>
    <w:rsid w:val="06AD3E4F"/>
    <w:rsid w:val="06E51481"/>
    <w:rsid w:val="071C754C"/>
    <w:rsid w:val="073A0BC5"/>
    <w:rsid w:val="073D6D3F"/>
    <w:rsid w:val="07472D88"/>
    <w:rsid w:val="07BB3385"/>
    <w:rsid w:val="07DA2419"/>
    <w:rsid w:val="09235369"/>
    <w:rsid w:val="09311A6C"/>
    <w:rsid w:val="0A1B4924"/>
    <w:rsid w:val="0A232419"/>
    <w:rsid w:val="0A2A0DFE"/>
    <w:rsid w:val="0A592347"/>
    <w:rsid w:val="0AEA0F55"/>
    <w:rsid w:val="0B0A565B"/>
    <w:rsid w:val="0B202B66"/>
    <w:rsid w:val="0B2728AE"/>
    <w:rsid w:val="0BB96B3C"/>
    <w:rsid w:val="0C0E26EA"/>
    <w:rsid w:val="0C961313"/>
    <w:rsid w:val="0CA46D1C"/>
    <w:rsid w:val="0D385FEF"/>
    <w:rsid w:val="0D747CCF"/>
    <w:rsid w:val="0DA863CC"/>
    <w:rsid w:val="0DAA2102"/>
    <w:rsid w:val="0DB06593"/>
    <w:rsid w:val="0DC8259D"/>
    <w:rsid w:val="0DE876C3"/>
    <w:rsid w:val="0E880CEF"/>
    <w:rsid w:val="0F025DC4"/>
    <w:rsid w:val="0F5A35EC"/>
    <w:rsid w:val="0F6A233C"/>
    <w:rsid w:val="0F9A5255"/>
    <w:rsid w:val="0FB53557"/>
    <w:rsid w:val="10364DB6"/>
    <w:rsid w:val="119A1FD8"/>
    <w:rsid w:val="119A3F7B"/>
    <w:rsid w:val="11BD1BE9"/>
    <w:rsid w:val="120D1A31"/>
    <w:rsid w:val="12532DCB"/>
    <w:rsid w:val="125E7697"/>
    <w:rsid w:val="12B33004"/>
    <w:rsid w:val="12B813FD"/>
    <w:rsid w:val="13223430"/>
    <w:rsid w:val="1324011C"/>
    <w:rsid w:val="138904DD"/>
    <w:rsid w:val="13BD5B13"/>
    <w:rsid w:val="13C26E28"/>
    <w:rsid w:val="147D5CAB"/>
    <w:rsid w:val="14A41CC1"/>
    <w:rsid w:val="14D94B47"/>
    <w:rsid w:val="15056581"/>
    <w:rsid w:val="150B41E7"/>
    <w:rsid w:val="153F13EA"/>
    <w:rsid w:val="155E7294"/>
    <w:rsid w:val="15681490"/>
    <w:rsid w:val="15DA6FC5"/>
    <w:rsid w:val="15F1381F"/>
    <w:rsid w:val="15F87315"/>
    <w:rsid w:val="15FD48CE"/>
    <w:rsid w:val="168A1345"/>
    <w:rsid w:val="16BC7588"/>
    <w:rsid w:val="179215F8"/>
    <w:rsid w:val="1851735A"/>
    <w:rsid w:val="188812C9"/>
    <w:rsid w:val="1A1109D3"/>
    <w:rsid w:val="1A4361BF"/>
    <w:rsid w:val="1ABC20EB"/>
    <w:rsid w:val="1B8448F8"/>
    <w:rsid w:val="1BAF6B42"/>
    <w:rsid w:val="1C0074A0"/>
    <w:rsid w:val="1C1C5327"/>
    <w:rsid w:val="1C42615F"/>
    <w:rsid w:val="1CBA22EF"/>
    <w:rsid w:val="1CEB627D"/>
    <w:rsid w:val="1D33464C"/>
    <w:rsid w:val="1D8557FE"/>
    <w:rsid w:val="1D857A7E"/>
    <w:rsid w:val="1DC0365D"/>
    <w:rsid w:val="1DED406A"/>
    <w:rsid w:val="1DF30269"/>
    <w:rsid w:val="1E0B5CA4"/>
    <w:rsid w:val="1E444F3C"/>
    <w:rsid w:val="1F205F11"/>
    <w:rsid w:val="1FAE535E"/>
    <w:rsid w:val="1FB442AF"/>
    <w:rsid w:val="1FF2321C"/>
    <w:rsid w:val="20883312"/>
    <w:rsid w:val="20C26BB0"/>
    <w:rsid w:val="210A089E"/>
    <w:rsid w:val="213451A7"/>
    <w:rsid w:val="21D13E07"/>
    <w:rsid w:val="21EB07A6"/>
    <w:rsid w:val="22986655"/>
    <w:rsid w:val="22E41037"/>
    <w:rsid w:val="230C509A"/>
    <w:rsid w:val="234772E6"/>
    <w:rsid w:val="23BF0FAD"/>
    <w:rsid w:val="23E10025"/>
    <w:rsid w:val="242C4665"/>
    <w:rsid w:val="244614BC"/>
    <w:rsid w:val="24DA7642"/>
    <w:rsid w:val="252047D7"/>
    <w:rsid w:val="25662AE5"/>
    <w:rsid w:val="258E05F4"/>
    <w:rsid w:val="2596578B"/>
    <w:rsid w:val="25AB17E9"/>
    <w:rsid w:val="26011BF7"/>
    <w:rsid w:val="26474157"/>
    <w:rsid w:val="26926350"/>
    <w:rsid w:val="26956589"/>
    <w:rsid w:val="26AA1410"/>
    <w:rsid w:val="26EB6545"/>
    <w:rsid w:val="271B299E"/>
    <w:rsid w:val="273307C3"/>
    <w:rsid w:val="280B7394"/>
    <w:rsid w:val="28C02DD0"/>
    <w:rsid w:val="28F8523B"/>
    <w:rsid w:val="29360438"/>
    <w:rsid w:val="29B94EF3"/>
    <w:rsid w:val="29EA31D2"/>
    <w:rsid w:val="2A1239F9"/>
    <w:rsid w:val="2A4C0AAB"/>
    <w:rsid w:val="2A5F263D"/>
    <w:rsid w:val="2A832706"/>
    <w:rsid w:val="2A9B0C80"/>
    <w:rsid w:val="2AB2195C"/>
    <w:rsid w:val="2B6A6B4B"/>
    <w:rsid w:val="2BA2397D"/>
    <w:rsid w:val="2BD248FA"/>
    <w:rsid w:val="2BDA699A"/>
    <w:rsid w:val="2C036956"/>
    <w:rsid w:val="2C831CFB"/>
    <w:rsid w:val="2D6A3D37"/>
    <w:rsid w:val="2D74087F"/>
    <w:rsid w:val="2DBB478F"/>
    <w:rsid w:val="2DFE6167"/>
    <w:rsid w:val="2E1E201B"/>
    <w:rsid w:val="2E3016F7"/>
    <w:rsid w:val="2E4E6207"/>
    <w:rsid w:val="2E655BC7"/>
    <w:rsid w:val="2E873191"/>
    <w:rsid w:val="2EA55CB5"/>
    <w:rsid w:val="2EF577A0"/>
    <w:rsid w:val="2F1F509D"/>
    <w:rsid w:val="2F2C6C85"/>
    <w:rsid w:val="2F5064AC"/>
    <w:rsid w:val="2F954AA7"/>
    <w:rsid w:val="30457C69"/>
    <w:rsid w:val="310C0D96"/>
    <w:rsid w:val="31142ADE"/>
    <w:rsid w:val="31685CA5"/>
    <w:rsid w:val="31940E9D"/>
    <w:rsid w:val="31F06BEE"/>
    <w:rsid w:val="32072948"/>
    <w:rsid w:val="322D097A"/>
    <w:rsid w:val="329C6B30"/>
    <w:rsid w:val="32A4715D"/>
    <w:rsid w:val="33090A4C"/>
    <w:rsid w:val="331D7A9E"/>
    <w:rsid w:val="337F6C43"/>
    <w:rsid w:val="338D69D1"/>
    <w:rsid w:val="33A75AD0"/>
    <w:rsid w:val="33A930DF"/>
    <w:rsid w:val="33D16011"/>
    <w:rsid w:val="347A34A3"/>
    <w:rsid w:val="34B166F0"/>
    <w:rsid w:val="350B0489"/>
    <w:rsid w:val="352914C3"/>
    <w:rsid w:val="35681994"/>
    <w:rsid w:val="357610AC"/>
    <w:rsid w:val="35C267C1"/>
    <w:rsid w:val="36186149"/>
    <w:rsid w:val="36B90072"/>
    <w:rsid w:val="36DA740A"/>
    <w:rsid w:val="36F51338"/>
    <w:rsid w:val="36FF649E"/>
    <w:rsid w:val="372739B5"/>
    <w:rsid w:val="372E5DD5"/>
    <w:rsid w:val="37EE6BCA"/>
    <w:rsid w:val="38A73F51"/>
    <w:rsid w:val="399860D0"/>
    <w:rsid w:val="39DC6E61"/>
    <w:rsid w:val="3A020F56"/>
    <w:rsid w:val="3A055696"/>
    <w:rsid w:val="3AC455FA"/>
    <w:rsid w:val="3B4B3764"/>
    <w:rsid w:val="3BC177AB"/>
    <w:rsid w:val="3C2D2E8F"/>
    <w:rsid w:val="3C8A7F52"/>
    <w:rsid w:val="3CB40CE3"/>
    <w:rsid w:val="3CBA2A46"/>
    <w:rsid w:val="3D31115C"/>
    <w:rsid w:val="3DF5365F"/>
    <w:rsid w:val="3ED80945"/>
    <w:rsid w:val="3F95628E"/>
    <w:rsid w:val="3FB36E6D"/>
    <w:rsid w:val="3FDD1D5A"/>
    <w:rsid w:val="3FFD2107"/>
    <w:rsid w:val="401F3F39"/>
    <w:rsid w:val="40365855"/>
    <w:rsid w:val="406F2976"/>
    <w:rsid w:val="40783FFD"/>
    <w:rsid w:val="407D2724"/>
    <w:rsid w:val="40B36613"/>
    <w:rsid w:val="40B90D30"/>
    <w:rsid w:val="40D2542F"/>
    <w:rsid w:val="40E65973"/>
    <w:rsid w:val="40EF0320"/>
    <w:rsid w:val="40F82219"/>
    <w:rsid w:val="414C4638"/>
    <w:rsid w:val="41A236B8"/>
    <w:rsid w:val="42AB51E8"/>
    <w:rsid w:val="43383798"/>
    <w:rsid w:val="439920B4"/>
    <w:rsid w:val="439A05A2"/>
    <w:rsid w:val="43EB2644"/>
    <w:rsid w:val="44184D69"/>
    <w:rsid w:val="44592DAB"/>
    <w:rsid w:val="4471176E"/>
    <w:rsid w:val="45037B36"/>
    <w:rsid w:val="45191665"/>
    <w:rsid w:val="452A411E"/>
    <w:rsid w:val="45564EDD"/>
    <w:rsid w:val="455A5197"/>
    <w:rsid w:val="457F79AB"/>
    <w:rsid w:val="45A05D9C"/>
    <w:rsid w:val="461646BF"/>
    <w:rsid w:val="46550474"/>
    <w:rsid w:val="46825B96"/>
    <w:rsid w:val="4689195C"/>
    <w:rsid w:val="469E4BCC"/>
    <w:rsid w:val="47151778"/>
    <w:rsid w:val="47507FEA"/>
    <w:rsid w:val="47CD0723"/>
    <w:rsid w:val="47E21292"/>
    <w:rsid w:val="488940B5"/>
    <w:rsid w:val="48E7151B"/>
    <w:rsid w:val="49A012CA"/>
    <w:rsid w:val="49E81953"/>
    <w:rsid w:val="4A5D5645"/>
    <w:rsid w:val="4B0572BF"/>
    <w:rsid w:val="4B435352"/>
    <w:rsid w:val="4C3847FB"/>
    <w:rsid w:val="4CA61634"/>
    <w:rsid w:val="4D3075B3"/>
    <w:rsid w:val="4D3220A0"/>
    <w:rsid w:val="4D3740CD"/>
    <w:rsid w:val="4DB20A2B"/>
    <w:rsid w:val="4EE07A4C"/>
    <w:rsid w:val="4F402876"/>
    <w:rsid w:val="4FA322B5"/>
    <w:rsid w:val="4FB61A39"/>
    <w:rsid w:val="4FFD4BCF"/>
    <w:rsid w:val="50136B9E"/>
    <w:rsid w:val="50151DD1"/>
    <w:rsid w:val="518A5153"/>
    <w:rsid w:val="51EA095B"/>
    <w:rsid w:val="53200921"/>
    <w:rsid w:val="53335E7F"/>
    <w:rsid w:val="535E16AC"/>
    <w:rsid w:val="538E7C8A"/>
    <w:rsid w:val="53956375"/>
    <w:rsid w:val="54597C98"/>
    <w:rsid w:val="54D813C5"/>
    <w:rsid w:val="560F078A"/>
    <w:rsid w:val="56EC2648"/>
    <w:rsid w:val="575C208A"/>
    <w:rsid w:val="57601771"/>
    <w:rsid w:val="576B2927"/>
    <w:rsid w:val="579F1884"/>
    <w:rsid w:val="58B51802"/>
    <w:rsid w:val="58E92FC0"/>
    <w:rsid w:val="595D05EE"/>
    <w:rsid w:val="5975604F"/>
    <w:rsid w:val="59874BEF"/>
    <w:rsid w:val="59D80078"/>
    <w:rsid w:val="5A1157C7"/>
    <w:rsid w:val="5A762D0A"/>
    <w:rsid w:val="5A813DB9"/>
    <w:rsid w:val="5AEA1BB9"/>
    <w:rsid w:val="5B897E63"/>
    <w:rsid w:val="5B8F2ED9"/>
    <w:rsid w:val="5C053D49"/>
    <w:rsid w:val="5C122925"/>
    <w:rsid w:val="5C207B33"/>
    <w:rsid w:val="5C9B2B9D"/>
    <w:rsid w:val="5CBB3D0E"/>
    <w:rsid w:val="5CBD0043"/>
    <w:rsid w:val="5D0C39D9"/>
    <w:rsid w:val="5D2D2508"/>
    <w:rsid w:val="5D510CFE"/>
    <w:rsid w:val="5D6147B1"/>
    <w:rsid w:val="5D641438"/>
    <w:rsid w:val="5DA110B8"/>
    <w:rsid w:val="5DDB2D07"/>
    <w:rsid w:val="5E0C1F9D"/>
    <w:rsid w:val="5E332E4B"/>
    <w:rsid w:val="5E5E3C84"/>
    <w:rsid w:val="5E8210A6"/>
    <w:rsid w:val="5EDC2F45"/>
    <w:rsid w:val="5F07419D"/>
    <w:rsid w:val="5F2C4CA8"/>
    <w:rsid w:val="5F4851C3"/>
    <w:rsid w:val="5F8846D0"/>
    <w:rsid w:val="5F952235"/>
    <w:rsid w:val="5FA46DEB"/>
    <w:rsid w:val="5FAA04E8"/>
    <w:rsid w:val="60DF09E1"/>
    <w:rsid w:val="61052538"/>
    <w:rsid w:val="61B30B49"/>
    <w:rsid w:val="6321792E"/>
    <w:rsid w:val="642761C5"/>
    <w:rsid w:val="65020182"/>
    <w:rsid w:val="656711BB"/>
    <w:rsid w:val="65F91999"/>
    <w:rsid w:val="662D7DCA"/>
    <w:rsid w:val="674E07D4"/>
    <w:rsid w:val="67B84CED"/>
    <w:rsid w:val="68184E08"/>
    <w:rsid w:val="685B5B55"/>
    <w:rsid w:val="68A40908"/>
    <w:rsid w:val="68DA0368"/>
    <w:rsid w:val="69D92947"/>
    <w:rsid w:val="6A232DB9"/>
    <w:rsid w:val="6A345EE3"/>
    <w:rsid w:val="6A7E488B"/>
    <w:rsid w:val="6AC83091"/>
    <w:rsid w:val="6AF57EA4"/>
    <w:rsid w:val="6B9819AB"/>
    <w:rsid w:val="6BE20961"/>
    <w:rsid w:val="6BE23F94"/>
    <w:rsid w:val="6C807D3C"/>
    <w:rsid w:val="6D490641"/>
    <w:rsid w:val="6E2A2A50"/>
    <w:rsid w:val="6EF633CC"/>
    <w:rsid w:val="6F2C5D43"/>
    <w:rsid w:val="6F4F3476"/>
    <w:rsid w:val="70207B6E"/>
    <w:rsid w:val="705E3076"/>
    <w:rsid w:val="709611FE"/>
    <w:rsid w:val="70B4366E"/>
    <w:rsid w:val="70DA2C14"/>
    <w:rsid w:val="7113031F"/>
    <w:rsid w:val="71C706DF"/>
    <w:rsid w:val="71D376AB"/>
    <w:rsid w:val="7303749F"/>
    <w:rsid w:val="730E25AE"/>
    <w:rsid w:val="73424581"/>
    <w:rsid w:val="73D02A4A"/>
    <w:rsid w:val="73E81B1D"/>
    <w:rsid w:val="73E97B4F"/>
    <w:rsid w:val="73F66E69"/>
    <w:rsid w:val="741B5617"/>
    <w:rsid w:val="743D707D"/>
    <w:rsid w:val="7444735E"/>
    <w:rsid w:val="74AA048A"/>
    <w:rsid w:val="74B72256"/>
    <w:rsid w:val="74C4399D"/>
    <w:rsid w:val="74CF346D"/>
    <w:rsid w:val="74F64D56"/>
    <w:rsid w:val="756B3685"/>
    <w:rsid w:val="75EC3788"/>
    <w:rsid w:val="76001B29"/>
    <w:rsid w:val="76112556"/>
    <w:rsid w:val="76156193"/>
    <w:rsid w:val="76CB4D43"/>
    <w:rsid w:val="76F554D6"/>
    <w:rsid w:val="771341AD"/>
    <w:rsid w:val="77606F01"/>
    <w:rsid w:val="778F480C"/>
    <w:rsid w:val="77BB25D6"/>
    <w:rsid w:val="77D4405B"/>
    <w:rsid w:val="77F9379C"/>
    <w:rsid w:val="78970D25"/>
    <w:rsid w:val="78E5641A"/>
    <w:rsid w:val="78EB4316"/>
    <w:rsid w:val="78EE5DB5"/>
    <w:rsid w:val="78F700D0"/>
    <w:rsid w:val="78F77970"/>
    <w:rsid w:val="7A5F211A"/>
    <w:rsid w:val="7A651C7D"/>
    <w:rsid w:val="7AED2C3D"/>
    <w:rsid w:val="7B733A90"/>
    <w:rsid w:val="7B861030"/>
    <w:rsid w:val="7BC44416"/>
    <w:rsid w:val="7C20673D"/>
    <w:rsid w:val="7C86235A"/>
    <w:rsid w:val="7D1D472F"/>
    <w:rsid w:val="7D912C27"/>
    <w:rsid w:val="7D9F4904"/>
    <w:rsid w:val="7E6174E6"/>
    <w:rsid w:val="7E706F04"/>
    <w:rsid w:val="7F6F0306"/>
    <w:rsid w:val="7FBC52AE"/>
    <w:rsid w:val="7FBD0EEA"/>
    <w:rsid w:val="7FF9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 w:type="paragraph" w:styleId="4">
    <w:name w:val="annotation text"/>
    <w:basedOn w:val="1"/>
    <w:qFormat/>
    <w:uiPriority w:val="0"/>
    <w:pPr>
      <w:jc w:val="left"/>
    </w:pPr>
  </w:style>
  <w:style w:type="paragraph" w:styleId="5">
    <w:name w:val="Body Text Indent 2"/>
    <w:basedOn w:val="1"/>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1809</Words>
  <Characters>2003</Characters>
  <Lines>0</Lines>
  <Paragraphs>0</Paragraphs>
  <TotalTime>2</TotalTime>
  <ScaleCrop>false</ScaleCrop>
  <LinksUpToDate>false</LinksUpToDate>
  <CharactersWithSpaces>2003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吴振强</cp:lastModifiedBy>
  <cp:lastPrinted>2022-11-07T05:14:00Z</cp:lastPrinted>
  <dcterms:modified xsi:type="dcterms:W3CDTF">2024-10-10T01:42:13Z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18774AC77042416B8B75C48C66F76A0F_13</vt:lpwstr>
  </property>
</Properties>
</file>