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jc w:val="center"/>
        <w:rPr>
          <w:rFonts w:ascii="方正小标宋简体" w:eastAsia="方正小标宋简体"/>
          <w:sz w:val="44"/>
          <w:szCs w:val="44"/>
        </w:rPr>
      </w:pPr>
      <w:bookmarkStart w:id="0" w:name="_GoBack"/>
      <w:bookmarkEnd w:id="0"/>
      <w:r>
        <w:rPr>
          <w:rFonts w:hint="eastAsia" w:ascii="方正小标宋简体" w:hAnsi="方正小标宋简体" w:eastAsia="方正小标宋简体"/>
          <w:sz w:val="44"/>
          <w:szCs w:val="44"/>
        </w:rPr>
        <w:t>横栏镇</w:t>
      </w:r>
      <w:r>
        <w:rPr>
          <w:rFonts w:hint="eastAsia" w:ascii="方正小标宋简体" w:hAnsi="方正小标宋简体" w:eastAsia="方正小标宋简体" w:cs="方正小标宋简体"/>
          <w:sz w:val="44"/>
          <w:szCs w:val="44"/>
        </w:rPr>
        <w:t>2019</w:t>
      </w:r>
      <w:r>
        <w:rPr>
          <w:rFonts w:hint="eastAsia" w:ascii="方正小标宋简体" w:hAnsi="方正小标宋简体" w:eastAsia="方正小标宋简体"/>
          <w:sz w:val="44"/>
          <w:szCs w:val="44"/>
        </w:rPr>
        <w:t>年财政预算执行情况和</w:t>
      </w:r>
    </w:p>
    <w:p>
      <w:pPr>
        <w:snapToGrid w:val="0"/>
        <w:spacing w:line="574"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2020</w:t>
      </w:r>
      <w:r>
        <w:rPr>
          <w:rFonts w:hint="eastAsia" w:ascii="方正小标宋简体" w:hAnsi="方正小标宋简体" w:eastAsia="方正小标宋简体"/>
          <w:sz w:val="44"/>
          <w:szCs w:val="44"/>
        </w:rPr>
        <w:t>年财政预算（草案）报告</w:t>
      </w:r>
    </w:p>
    <w:p>
      <w:pPr>
        <w:snapToGrid w:val="0"/>
        <w:spacing w:line="574" w:lineRule="exact"/>
        <w:jc w:val="center"/>
        <w:rPr>
          <w:rFonts w:hint="eastAsia" w:ascii="Times New Roman" w:hAnsi="楷体_GB2312" w:eastAsia="楷体_GB2312" w:cs="Times New Roman"/>
          <w:sz w:val="32"/>
          <w:szCs w:val="32"/>
        </w:rPr>
      </w:pPr>
      <w:r>
        <w:rPr>
          <w:rFonts w:ascii="Times New Roman" w:hAnsi="Times New Roman" w:eastAsia="楷体_GB2312" w:cs="Times New Roman"/>
          <w:sz w:val="32"/>
          <w:szCs w:val="32"/>
        </w:rPr>
        <w:t>——2020</w:t>
      </w:r>
      <w:r>
        <w:rPr>
          <w:rFonts w:ascii="Times New Roman" w:hAnsi="楷体_GB2312" w:eastAsia="楷体_GB2312" w:cs="Times New Roman"/>
          <w:sz w:val="32"/>
          <w:szCs w:val="32"/>
        </w:rPr>
        <w:t>年</w:t>
      </w:r>
      <w:r>
        <w:rPr>
          <w:rFonts w:ascii="Times New Roman" w:hAnsi="Times New Roman" w:eastAsia="楷体_GB2312" w:cs="Times New Roman"/>
          <w:sz w:val="32"/>
          <w:szCs w:val="32"/>
        </w:rPr>
        <w:t>4</w:t>
      </w:r>
      <w:r>
        <w:rPr>
          <w:rFonts w:ascii="Times New Roman" w:hAnsi="楷体_GB2312" w:eastAsia="楷体_GB2312" w:cs="Times New Roman"/>
          <w:sz w:val="32"/>
          <w:szCs w:val="32"/>
        </w:rPr>
        <w:t>月</w:t>
      </w:r>
      <w:r>
        <w:rPr>
          <w:rFonts w:hint="eastAsia" w:ascii="Times New Roman" w:hAnsi="Times New Roman" w:eastAsia="楷体_GB2312" w:cs="Times New Roman"/>
          <w:sz w:val="32"/>
          <w:szCs w:val="32"/>
        </w:rPr>
        <w:t>23</w:t>
      </w:r>
      <w:r>
        <w:rPr>
          <w:rFonts w:ascii="Times New Roman" w:hAnsi="楷体_GB2312" w:eastAsia="楷体_GB2312" w:cs="Times New Roman"/>
          <w:sz w:val="32"/>
          <w:szCs w:val="32"/>
        </w:rPr>
        <w:t>日在</w:t>
      </w:r>
      <w:r>
        <w:rPr>
          <w:rFonts w:hint="eastAsia" w:ascii="Times New Roman" w:hAnsi="楷体_GB2312" w:eastAsia="楷体_GB2312" w:cs="Times New Roman"/>
          <w:sz w:val="32"/>
          <w:szCs w:val="32"/>
        </w:rPr>
        <w:t>横栏镇第十六届人民代表大会</w:t>
      </w:r>
    </w:p>
    <w:p>
      <w:pPr>
        <w:snapToGrid w:val="0"/>
        <w:spacing w:line="574" w:lineRule="exact"/>
        <w:jc w:val="center"/>
        <w:rPr>
          <w:rFonts w:ascii="Times New Roman" w:hAnsi="Times New Roman" w:eastAsia="楷体_GB2312" w:cs="Times New Roman"/>
          <w:sz w:val="32"/>
          <w:szCs w:val="32"/>
        </w:rPr>
      </w:pPr>
      <w:r>
        <w:rPr>
          <w:rFonts w:hint="eastAsia" w:ascii="Times New Roman" w:hAnsi="楷体_GB2312" w:eastAsia="楷体_GB2312" w:cs="Times New Roman"/>
          <w:sz w:val="32"/>
          <w:szCs w:val="32"/>
        </w:rPr>
        <w:t>第九次会议议</w:t>
      </w:r>
      <w:r>
        <w:rPr>
          <w:rFonts w:ascii="Times New Roman" w:hAnsi="楷体_GB2312" w:eastAsia="楷体_GB2312" w:cs="Times New Roman"/>
          <w:sz w:val="32"/>
          <w:szCs w:val="32"/>
        </w:rPr>
        <w:t>上</w:t>
      </w:r>
    </w:p>
    <w:p>
      <w:pPr>
        <w:snapToGrid w:val="0"/>
        <w:spacing w:line="574" w:lineRule="exact"/>
        <w:jc w:val="center"/>
        <w:rPr>
          <w:rFonts w:ascii="Times New Roman" w:hAnsi="Times New Roman" w:eastAsia="楷体_GB2312" w:cs="Times New Roman"/>
          <w:sz w:val="32"/>
          <w:szCs w:val="32"/>
        </w:rPr>
      </w:pPr>
    </w:p>
    <w:p>
      <w:pPr>
        <w:snapToGrid w:val="0"/>
        <w:spacing w:line="574" w:lineRule="exact"/>
        <w:rPr>
          <w:rFonts w:ascii="Times New Roman" w:hAnsi="Times New Roman" w:cs="Times New Roman"/>
          <w:sz w:val="32"/>
          <w:szCs w:val="32"/>
        </w:rPr>
      </w:pPr>
      <w:r>
        <w:rPr>
          <w:rFonts w:ascii="Times New Roman" w:hAnsi="Times New Roman" w:cs="Times New Roman"/>
          <w:sz w:val="32"/>
          <w:szCs w:val="32"/>
        </w:rPr>
        <w:t>各位代表：</w:t>
      </w:r>
    </w:p>
    <w:p>
      <w:pPr>
        <w:snapToGrid w:val="0"/>
        <w:spacing w:line="574" w:lineRule="exact"/>
        <w:ind w:firstLine="600"/>
        <w:rPr>
          <w:rFonts w:ascii="Times New Roman" w:hAnsi="Times New Roman" w:cs="Times New Roman"/>
          <w:sz w:val="32"/>
          <w:szCs w:val="32"/>
        </w:rPr>
      </w:pPr>
      <w:r>
        <w:rPr>
          <w:rFonts w:ascii="Times New Roman" w:hAnsi="Times New Roman" w:cs="Times New Roman"/>
          <w:sz w:val="32"/>
          <w:szCs w:val="32"/>
        </w:rPr>
        <w:t>受横栏镇人民政府的委托，我向大会报告横栏镇2019年财政预算执行情况和2020年财政预算（草案），请予审议，并请各位列席同志提出意见。</w:t>
      </w:r>
    </w:p>
    <w:p>
      <w:pPr>
        <w:snapToGrid w:val="0"/>
        <w:spacing w:line="574" w:lineRule="exact"/>
        <w:ind w:firstLine="600"/>
        <w:rPr>
          <w:rFonts w:ascii="Times New Roman" w:hAnsi="Times New Roman" w:cs="Times New Roman"/>
          <w:sz w:val="32"/>
          <w:szCs w:val="32"/>
        </w:rPr>
      </w:pPr>
    </w:p>
    <w:p>
      <w:pPr>
        <w:snapToGrid w:val="0"/>
        <w:spacing w:line="574" w:lineRule="exact"/>
        <w:jc w:val="center"/>
        <w:rPr>
          <w:rFonts w:ascii="Times New Roman" w:hAnsi="Times New Roman" w:eastAsia="黑体" w:cs="Times New Roman"/>
          <w:bCs/>
          <w:sz w:val="32"/>
          <w:szCs w:val="32"/>
        </w:rPr>
      </w:pPr>
      <w:r>
        <w:rPr>
          <w:rFonts w:hint="eastAsia" w:ascii="Times New Roman" w:hAnsi="Times New Roman" w:eastAsia="黑体" w:cs="Times New Roman"/>
          <w:bCs/>
          <w:sz w:val="32"/>
          <w:szCs w:val="32"/>
        </w:rPr>
        <w:t>2019年财政预算执行情况</w:t>
      </w:r>
    </w:p>
    <w:p>
      <w:pPr>
        <w:snapToGrid w:val="0"/>
        <w:spacing w:line="574" w:lineRule="exact"/>
        <w:jc w:val="center"/>
        <w:rPr>
          <w:rFonts w:ascii="Times New Roman" w:hAnsi="Times New Roman" w:eastAsia="黑体" w:cs="Times New Roman"/>
          <w:bCs/>
          <w:sz w:val="32"/>
          <w:szCs w:val="32"/>
        </w:rPr>
      </w:pPr>
    </w:p>
    <w:p>
      <w:pPr>
        <w:autoSpaceDN w:val="0"/>
        <w:snapToGrid w:val="0"/>
        <w:spacing w:line="574" w:lineRule="exact"/>
        <w:ind w:firstLine="640" w:firstLineChars="200"/>
        <w:rPr>
          <w:rFonts w:hint="eastAsia" w:ascii="Times New Roman" w:hAnsi="Times New Roman" w:cs="Times New Roman"/>
          <w:sz w:val="32"/>
          <w:szCs w:val="32"/>
        </w:rPr>
      </w:pPr>
      <w:r>
        <w:rPr>
          <w:rFonts w:ascii="Times New Roman" w:hAnsi="Times New Roman" w:cs="Times New Roman"/>
          <w:sz w:val="32"/>
          <w:szCs w:val="32"/>
        </w:rPr>
        <w:t>2019</w:t>
      </w:r>
      <w:r>
        <w:rPr>
          <w:rFonts w:ascii="Times New Roman" w:hAnsi="Times New Roman" w:cs="Times New Roman"/>
          <w:kern w:val="0"/>
          <w:sz w:val="32"/>
          <w:szCs w:val="32"/>
        </w:rPr>
        <w:t>年，在镇党委、政府的正确领导</w:t>
      </w:r>
      <w:r>
        <w:rPr>
          <w:rFonts w:hint="eastAsia" w:ascii="Times New Roman" w:hAnsi="Times New Roman" w:cs="Times New Roman"/>
          <w:kern w:val="0"/>
          <w:sz w:val="32"/>
          <w:szCs w:val="32"/>
        </w:rPr>
        <w:t>，在</w:t>
      </w:r>
      <w:r>
        <w:rPr>
          <w:rFonts w:ascii="Times New Roman" w:hAnsi="Times New Roman" w:cs="Times New Roman"/>
          <w:kern w:val="0"/>
          <w:sz w:val="32"/>
          <w:szCs w:val="32"/>
        </w:rPr>
        <w:t>镇人大及社会各界的监督支持下</w:t>
      </w:r>
      <w:r>
        <w:rPr>
          <w:rFonts w:ascii="Times New Roman" w:hAnsi="Times New Roman" w:cs="Times New Roman"/>
          <w:kern w:val="10"/>
          <w:sz w:val="32"/>
          <w:szCs w:val="32"/>
        </w:rPr>
        <w:t>，我镇财政</w:t>
      </w:r>
      <w:r>
        <w:rPr>
          <w:rFonts w:hint="eastAsia" w:ascii="Times New Roman" w:hAnsi="Times New Roman" w:cs="Times New Roman"/>
          <w:kern w:val="10"/>
          <w:sz w:val="32"/>
          <w:szCs w:val="32"/>
        </w:rPr>
        <w:t>全面</w:t>
      </w:r>
      <w:r>
        <w:rPr>
          <w:rFonts w:ascii="Times New Roman" w:hAnsi="Times New Roman" w:cs="Times New Roman"/>
          <w:kern w:val="10"/>
          <w:sz w:val="32"/>
          <w:szCs w:val="32"/>
        </w:rPr>
        <w:t>贯彻习近平新时代中国特色社会主义思想</w:t>
      </w:r>
      <w:r>
        <w:rPr>
          <w:rFonts w:hint="eastAsia" w:ascii="Times New Roman" w:hAnsi="Times New Roman" w:cs="Times New Roman"/>
          <w:kern w:val="10"/>
          <w:sz w:val="32"/>
          <w:szCs w:val="32"/>
        </w:rPr>
        <w:t>，以及</w:t>
      </w:r>
      <w:r>
        <w:rPr>
          <w:rFonts w:ascii="Times New Roman" w:hAnsi="Times New Roman" w:cs="Times New Roman"/>
          <w:kern w:val="10"/>
          <w:sz w:val="32"/>
          <w:szCs w:val="32"/>
        </w:rPr>
        <w:t>党的十九大</w:t>
      </w:r>
      <w:r>
        <w:rPr>
          <w:rFonts w:hint="eastAsia" w:ascii="Times New Roman" w:hAnsi="Times New Roman" w:cs="Times New Roman"/>
          <w:kern w:val="10"/>
          <w:sz w:val="32"/>
          <w:szCs w:val="32"/>
        </w:rPr>
        <w:t>和十九届二中、三中、四中全会</w:t>
      </w:r>
      <w:r>
        <w:rPr>
          <w:rFonts w:ascii="Times New Roman" w:hAnsi="Times New Roman" w:cs="Times New Roman"/>
          <w:kern w:val="10"/>
          <w:sz w:val="32"/>
          <w:szCs w:val="32"/>
        </w:rPr>
        <w:t>精神，认真学习习近平总书记对广东</w:t>
      </w:r>
      <w:r>
        <w:rPr>
          <w:rFonts w:hint="eastAsia" w:ascii="Times New Roman" w:hAnsi="Times New Roman" w:cs="Times New Roman"/>
          <w:kern w:val="10"/>
          <w:sz w:val="32"/>
          <w:szCs w:val="32"/>
        </w:rPr>
        <w:t>的</w:t>
      </w:r>
      <w:r>
        <w:rPr>
          <w:rFonts w:ascii="Times New Roman" w:hAnsi="Times New Roman" w:cs="Times New Roman"/>
          <w:kern w:val="10"/>
          <w:sz w:val="32"/>
          <w:szCs w:val="32"/>
        </w:rPr>
        <w:t>重要讲话精神</w:t>
      </w:r>
      <w:r>
        <w:rPr>
          <w:rFonts w:hint="eastAsia" w:ascii="Times New Roman" w:hAnsi="Times New Roman" w:cs="Times New Roman"/>
          <w:kern w:val="10"/>
          <w:sz w:val="32"/>
          <w:szCs w:val="32"/>
        </w:rPr>
        <w:t>和重要指示批示精神</w:t>
      </w:r>
      <w:r>
        <w:rPr>
          <w:rFonts w:ascii="Times New Roman" w:hAnsi="Times New Roman" w:cs="Times New Roman"/>
          <w:kern w:val="10"/>
          <w:sz w:val="32"/>
          <w:szCs w:val="32"/>
        </w:rPr>
        <w:t>，</w:t>
      </w:r>
      <w:r>
        <w:rPr>
          <w:rFonts w:ascii="Times New Roman" w:hAnsi="Times New Roman" w:cs="Times New Roman"/>
          <w:sz w:val="32"/>
          <w:szCs w:val="32"/>
        </w:rPr>
        <w:t>紧紧围绕镇党委、政府的中心工作，认真履行财政职能</w:t>
      </w:r>
      <w:r>
        <w:rPr>
          <w:rFonts w:hint="eastAsia" w:ascii="Times New Roman" w:hAnsi="Times New Roman" w:cs="Times New Roman"/>
          <w:sz w:val="32"/>
          <w:szCs w:val="32"/>
        </w:rPr>
        <w:t>，切实保障民生稳定、社会事业、城镇管理、乡村振兴等各项投入，基本实现“保工资、保运转、保民生”的工作目标，各项重点工作得到有效开展和落实，财政收支工作有序开展、平稳运行。</w:t>
      </w:r>
    </w:p>
    <w:p>
      <w:pPr>
        <w:snapToGrid w:val="0"/>
        <w:spacing w:line="574" w:lineRule="exact"/>
        <w:ind w:firstLine="640" w:firstLineChars="200"/>
        <w:rPr>
          <w:rFonts w:hint="eastAsia" w:hAnsi="黑体" w:eastAsia="黑体" w:cs="Times New Roman"/>
          <w:bCs/>
          <w:sz w:val="32"/>
          <w:szCs w:val="32"/>
        </w:rPr>
      </w:pPr>
      <w:r>
        <w:rPr>
          <w:rFonts w:hint="eastAsia" w:hAnsi="黑体" w:eastAsia="黑体" w:cs="Times New Roman"/>
          <w:bCs/>
          <w:sz w:val="32"/>
          <w:szCs w:val="32"/>
        </w:rPr>
        <w:t>一、</w:t>
      </w:r>
      <w:r>
        <w:rPr>
          <w:rFonts w:ascii="Times New Roman" w:hAnsi="Times New Roman" w:eastAsia="黑体" w:cs="Times New Roman"/>
          <w:bCs/>
          <w:sz w:val="32"/>
          <w:szCs w:val="32"/>
        </w:rPr>
        <w:t>2019</w:t>
      </w:r>
      <w:r>
        <w:rPr>
          <w:rFonts w:hint="eastAsia" w:hAnsi="黑体" w:eastAsia="黑体" w:cs="Times New Roman"/>
          <w:bCs/>
          <w:sz w:val="32"/>
          <w:szCs w:val="32"/>
        </w:rPr>
        <w:t>年财政预算执行情况</w:t>
      </w:r>
    </w:p>
    <w:p>
      <w:pPr>
        <w:snapToGrid w:val="0"/>
        <w:spacing w:line="574" w:lineRule="exact"/>
        <w:ind w:firstLine="640" w:firstLineChars="200"/>
        <w:rPr>
          <w:rFonts w:hAnsi="楷体_GB2312" w:eastAsia="楷体_GB2312" w:cs="Times New Roman"/>
          <w:sz w:val="32"/>
          <w:szCs w:val="32"/>
        </w:rPr>
      </w:pPr>
      <w:r>
        <w:rPr>
          <w:rFonts w:hAnsi="楷体_GB2312" w:eastAsia="楷体_GB2312" w:cs="Times New Roman"/>
          <w:sz w:val="32"/>
          <w:szCs w:val="32"/>
        </w:rPr>
        <w:t>（一）</w:t>
      </w:r>
      <w:r>
        <w:rPr>
          <w:rFonts w:hint="eastAsia" w:hAnsi="楷体_GB2312" w:eastAsia="楷体_GB2312" w:cs="Times New Roman"/>
          <w:sz w:val="32"/>
          <w:szCs w:val="32"/>
        </w:rPr>
        <w:t>公共财政预算收支</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szCs w:val="32"/>
        </w:rPr>
        <w:t>1</w:t>
      </w:r>
      <w:r>
        <w:rPr>
          <w:rFonts w:hint="eastAsia" w:ascii="Times New Roman" w:hAnsi="Times New Roman" w:cs="Times New Roman"/>
          <w:sz w:val="32"/>
        </w:rPr>
        <w:t>．</w:t>
      </w:r>
      <w:r>
        <w:rPr>
          <w:rFonts w:ascii="Times New Roman" w:hAnsi="Times New Roman" w:cs="Times New Roman"/>
          <w:sz w:val="32"/>
        </w:rPr>
        <w:t>2019年公共财政预算收入情况。2019年，全镇公共财政预算总收入66781.35万元，完成年初预算的85.95%。其中：一般公共预算收入36823.04万元，完成年初预算的118.58%，同比增长5.11%；上级补助公共预算收入26978.32万元，完成年初预算的169.65%，同比增长26.23% ；债务转贷收入1192.79万元；调入资金1787.20万元。全镇一般公共预算收入具体完成情况如下：</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（1）税收分成收入29534.13万元。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（2）专项收入（残疾人保障金、教育费附加等）3456.97万元。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（3）行政事业性收费收入2159.38万元。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（4）罚没收入846.74万元。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（5）国有资本经营收入80.43万元。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（6）国有资源有偿使用收入589.66万元。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（7）捐赠收入56.10万元。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（8）其他收入99.63万元。</w:t>
      </w:r>
    </w:p>
    <w:p>
      <w:pPr>
        <w:snapToGrid w:val="0"/>
        <w:spacing w:line="574" w:lineRule="exact"/>
        <w:ind w:firstLine="640" w:firstLineChars="200"/>
        <w:rPr>
          <w:rFonts w:ascii="Times New Roman" w:hAnsi="Times New Roman" w:cs="Times New Roman"/>
          <w:sz w:val="32"/>
        </w:rPr>
      </w:pPr>
      <w:r>
        <w:rPr>
          <w:rFonts w:hint="eastAsia" w:ascii="Times New Roman" w:hAnsi="Times New Roman" w:cs="Times New Roman"/>
          <w:sz w:val="32"/>
        </w:rPr>
        <w:t>2．2019年公共财政预算支出情况。</w:t>
      </w:r>
      <w:r>
        <w:rPr>
          <w:rFonts w:ascii="Times New Roman" w:hAnsi="Times New Roman" w:cs="Times New Roman"/>
          <w:sz w:val="32"/>
        </w:rPr>
        <w:t>2019年，全镇公共财政预算总支出69800.55万元，为年初预算的82.82%。其中一般公共预算支出56191.32万元，为年初预算的76.08%；上解支出12415.79万元；债务还本支出1193.44万元。全镇一般公共预算支出具体完成情况如下：</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（1）一般公共服务支出9119.20万元。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（2）公共安全支出8594.05万元。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（3）教育支出17218.14万元。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（4）科学技术支出1437.75万元。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（5）文化体育与传媒支出1414.49万元。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（6）社会保障和就业支出</w:t>
      </w:r>
      <w:r>
        <w:rPr>
          <w:rFonts w:hint="eastAsia" w:ascii="Times New Roman" w:hAnsi="Times New Roman" w:cs="Times New Roman"/>
          <w:sz w:val="32"/>
          <w:lang w:val="en-US" w:eastAsia="zh-CN"/>
        </w:rPr>
        <w:t>3827.85</w:t>
      </w:r>
      <w:r>
        <w:rPr>
          <w:rFonts w:ascii="Times New Roman" w:hAnsi="Times New Roman" w:cs="Times New Roman"/>
          <w:sz w:val="32"/>
        </w:rPr>
        <w:t>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（7）医疗卫生与计划生育支出</w:t>
      </w:r>
      <w:r>
        <w:rPr>
          <w:rFonts w:hint="eastAsia" w:ascii="Times New Roman" w:hAnsi="Times New Roman" w:cs="Times New Roman"/>
          <w:sz w:val="32"/>
          <w:lang w:val="en-US" w:eastAsia="zh-CN"/>
        </w:rPr>
        <w:t>3252.18</w:t>
      </w:r>
      <w:r>
        <w:rPr>
          <w:rFonts w:ascii="Times New Roman" w:hAnsi="Times New Roman" w:cs="Times New Roman"/>
          <w:sz w:val="32"/>
        </w:rPr>
        <w:t>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（8）节能环保支出1476.71万元。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（9）城乡社区事务支出2620.99万元。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（10）农林水事务支出4322.72万元。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（11）交通运输支出1068.86万元。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（12）住房保障支出5.37万元。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（13）粮油物资储备支出412.49万元。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（14）债务付息支出2329.85万元。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（15）债务发行费用支出1.31万元。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（16）其他支出-910.64万元。</w:t>
      </w:r>
    </w:p>
    <w:p>
      <w:pPr>
        <w:snapToGrid w:val="0"/>
        <w:spacing w:line="574" w:lineRule="exact"/>
        <w:ind w:firstLine="800" w:firstLineChars="250"/>
        <w:rPr>
          <w:rFonts w:ascii="Times New Roman" w:hAnsi="Times New Roman" w:cs="Times New Roman"/>
          <w:sz w:val="32"/>
        </w:rPr>
      </w:pPr>
      <w:r>
        <w:rPr>
          <w:rFonts w:ascii="Times New Roman" w:hAnsi="Times New Roman" w:cs="Times New Roman"/>
          <w:sz w:val="32"/>
        </w:rPr>
        <w:t>2019年</w:t>
      </w:r>
      <w:r>
        <w:rPr>
          <w:rFonts w:hint="eastAsia" w:ascii="Times New Roman" w:hAnsi="Times New Roman" w:cs="Times New Roman"/>
          <w:sz w:val="32"/>
        </w:rPr>
        <w:t>，</w:t>
      </w:r>
      <w:r>
        <w:rPr>
          <w:rFonts w:ascii="Times New Roman" w:hAnsi="Times New Roman" w:cs="Times New Roman"/>
          <w:sz w:val="32"/>
        </w:rPr>
        <w:t>全镇可支配公共财政预算总收入共66781.35万元，加2018年结转16211.62万元，减全年公共财政预算支出69800.55万元，累计结余13192.42万元。全年实现收支预算平衡。</w:t>
      </w:r>
    </w:p>
    <w:p>
      <w:pPr>
        <w:snapToGrid w:val="0"/>
        <w:spacing w:line="574" w:lineRule="exact"/>
        <w:ind w:firstLine="640" w:firstLineChars="200"/>
        <w:rPr>
          <w:rFonts w:hint="eastAsia" w:ascii="Times New Roman" w:hAnsi="楷体_GB2312" w:eastAsia="楷体_GB2312" w:cs="Times New Roman"/>
          <w:sz w:val="32"/>
          <w:szCs w:val="32"/>
        </w:rPr>
      </w:pPr>
      <w:r>
        <w:rPr>
          <w:rFonts w:ascii="Times New Roman" w:hAnsi="楷体_GB2312" w:eastAsia="楷体_GB2312" w:cs="Times New Roman"/>
          <w:sz w:val="32"/>
          <w:szCs w:val="32"/>
        </w:rPr>
        <w:t>（二）</w:t>
      </w:r>
      <w:r>
        <w:rPr>
          <w:rFonts w:ascii="Times New Roman" w:hAnsi="Times New Roman" w:eastAsia="楷体_GB2312" w:cs="Times New Roman"/>
          <w:sz w:val="32"/>
          <w:szCs w:val="32"/>
        </w:rPr>
        <w:t>2019</w:t>
      </w:r>
      <w:r>
        <w:rPr>
          <w:rFonts w:ascii="Times New Roman" w:hAnsi="楷体_GB2312" w:eastAsia="楷体_GB2312" w:cs="Times New Roman"/>
          <w:sz w:val="32"/>
          <w:szCs w:val="32"/>
        </w:rPr>
        <w:t>年基金预算收支情况</w:t>
      </w:r>
    </w:p>
    <w:p>
      <w:pPr>
        <w:snapToGrid w:val="0"/>
        <w:spacing w:line="574" w:lineRule="exact"/>
        <w:ind w:firstLine="640" w:firstLineChars="200"/>
        <w:rPr>
          <w:rFonts w:ascii="仿宋" w:hAnsi="仿宋" w:eastAsia="仿宋"/>
          <w:sz w:val="32"/>
        </w:rPr>
      </w:pPr>
      <w:r>
        <w:rPr>
          <w:rFonts w:ascii="Times New Roman" w:hAnsi="Times New Roman" w:cs="Times New Roman"/>
          <w:sz w:val="32"/>
        </w:rPr>
        <w:t>2019年，我镇政府性基金收入5328.12万元，完成年初预算的11.24%；补助收入30.32万元</w:t>
      </w:r>
      <w:r>
        <w:rPr>
          <w:rFonts w:hint="eastAsia" w:ascii="Times New Roman" w:hAnsi="Times New Roman" w:cs="Times New Roman"/>
          <w:sz w:val="32"/>
        </w:rPr>
        <w:t>，</w:t>
      </w:r>
      <w:r>
        <w:rPr>
          <w:rFonts w:ascii="Times New Roman" w:hAnsi="Times New Roman" w:cs="Times New Roman"/>
          <w:sz w:val="32"/>
        </w:rPr>
        <w:t>上年结余72.84万元。政府性基金支出2111.61万元，完成年初预算的12.69%；调出资金1787.20万元。收支结余1532.47万元。</w:t>
      </w:r>
    </w:p>
    <w:p>
      <w:pPr>
        <w:snapToGrid w:val="0"/>
        <w:spacing w:line="574" w:lineRule="exact"/>
        <w:ind w:firstLine="640" w:firstLineChars="200"/>
        <w:rPr>
          <w:rFonts w:hint="eastAsia" w:hAnsi="楷体_GB2312" w:eastAsia="楷体_GB2312" w:asciiTheme="minorHAnsi" w:cstheme="minorBidi"/>
          <w:sz w:val="32"/>
          <w:szCs w:val="32"/>
        </w:rPr>
      </w:pPr>
      <w:r>
        <w:rPr>
          <w:rFonts w:hint="eastAsia" w:hAnsi="楷体_GB2312" w:eastAsia="楷体_GB2312" w:asciiTheme="minorHAnsi" w:cstheme="minorBidi"/>
          <w:sz w:val="32"/>
          <w:szCs w:val="32"/>
        </w:rPr>
        <w:t>（三）</w:t>
      </w:r>
      <w:r>
        <w:rPr>
          <w:rFonts w:hAnsi="楷体_GB2312" w:eastAsia="楷体_GB2312" w:asciiTheme="minorHAnsi" w:cstheme="minorBidi"/>
          <w:sz w:val="32"/>
          <w:szCs w:val="32"/>
        </w:rPr>
        <w:t>财政专户管理资金预算收支情况</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rPr>
        <w:t>2019年，我镇财政专户管理资金收入5100.98万元，财政专户管理资金支出5100.98万元。</w:t>
      </w:r>
    </w:p>
    <w:p>
      <w:pPr>
        <w:snapToGrid w:val="0"/>
        <w:spacing w:line="574"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二、2019年财政主要工作开展情况</w:t>
      </w:r>
    </w:p>
    <w:p>
      <w:pPr>
        <w:snapToGrid w:val="0"/>
        <w:spacing w:line="574"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牢固树立艰苦奋斗、勤俭节约的思想，不折不扣落实“过紧日子”的要求，大力压减一般性支出，继续严控“三公”经费。坚持统筹兼顾、突出重点，优化支出结构，全力支持镇重大发展战略和重点领域改革。不断加强财政管理，充分发挥财政职能，支持全镇经济社会平稳</w:t>
      </w:r>
      <w:r>
        <w:rPr>
          <w:rFonts w:ascii="Times New Roman" w:hAnsi="Times New Roman" w:cs="Times New Roman"/>
          <w:sz w:val="32"/>
          <w:szCs w:val="32"/>
        </w:rPr>
        <w:t>健康</w:t>
      </w:r>
      <w:r>
        <w:rPr>
          <w:rFonts w:hint="eastAsia" w:ascii="Times New Roman" w:hAnsi="Times New Roman" w:cs="Times New Roman"/>
          <w:sz w:val="32"/>
          <w:szCs w:val="32"/>
        </w:rPr>
        <w:t>高质量</w:t>
      </w:r>
      <w:r>
        <w:rPr>
          <w:rFonts w:ascii="Times New Roman" w:hAnsi="Times New Roman" w:cs="Times New Roman"/>
          <w:sz w:val="32"/>
          <w:szCs w:val="32"/>
        </w:rPr>
        <w:t>发展。</w:t>
      </w:r>
    </w:p>
    <w:p>
      <w:pPr>
        <w:spacing w:line="574"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w:t>
      </w:r>
      <w:r>
        <w:rPr>
          <w:rFonts w:hint="eastAsia" w:ascii="楷体_GB2312" w:hAnsi="楷体_GB2312" w:eastAsia="楷体_GB2312" w:cs="楷体_GB2312"/>
          <w:sz w:val="32"/>
          <w:szCs w:val="32"/>
        </w:rPr>
        <w:t>保稳定、促增收，财政运行总体平稳</w:t>
      </w:r>
    </w:p>
    <w:p>
      <w:pPr>
        <w:spacing w:line="574" w:lineRule="exact"/>
        <w:ind w:firstLine="643" w:firstLineChars="200"/>
        <w:rPr>
          <w:rFonts w:ascii="Times New Roman" w:hAnsi="Times New Roman" w:cs="Times New Roman"/>
          <w:sz w:val="32"/>
          <w:szCs w:val="32"/>
        </w:rPr>
      </w:pPr>
      <w:r>
        <w:rPr>
          <w:rFonts w:ascii="Times New Roman" w:hAnsi="Times New Roman" w:cs="Times New Roman"/>
          <w:b/>
          <w:sz w:val="32"/>
          <w:szCs w:val="32"/>
        </w:rPr>
        <w:t>一是</w:t>
      </w:r>
      <w:r>
        <w:rPr>
          <w:rFonts w:ascii="Times New Roman" w:hAnsi="Times New Roman" w:cs="Times New Roman"/>
          <w:bCs/>
          <w:sz w:val="32"/>
          <w:szCs w:val="32"/>
        </w:rPr>
        <w:t>高度重视财政收入工作，</w:t>
      </w:r>
      <w:r>
        <w:rPr>
          <w:rFonts w:hint="eastAsia" w:ascii="Times New Roman" w:hAnsi="Times New Roman" w:cs="Times New Roman"/>
          <w:bCs/>
          <w:sz w:val="32"/>
          <w:szCs w:val="32"/>
        </w:rPr>
        <w:t>抓好组织收入目标责任制落实</w:t>
      </w:r>
      <w:r>
        <w:rPr>
          <w:rFonts w:ascii="Times New Roman" w:hAnsi="Times New Roman" w:cs="Times New Roman"/>
          <w:bCs/>
          <w:sz w:val="32"/>
          <w:szCs w:val="32"/>
        </w:rPr>
        <w:t>，加强经济形势分析，确保各项收入及时足额入库</w:t>
      </w:r>
      <w:r>
        <w:rPr>
          <w:rFonts w:ascii="Times New Roman" w:hAnsi="Times New Roman" w:cs="Times New Roman"/>
          <w:sz w:val="32"/>
          <w:szCs w:val="32"/>
        </w:rPr>
        <w:t>。</w:t>
      </w:r>
      <w:r>
        <w:rPr>
          <w:rFonts w:ascii="Times New Roman" w:hAnsi="Times New Roman" w:cs="Times New Roman"/>
          <w:b/>
          <w:bCs/>
          <w:sz w:val="32"/>
          <w:szCs w:val="32"/>
        </w:rPr>
        <w:t>二是</w:t>
      </w:r>
      <w:r>
        <w:rPr>
          <w:rFonts w:hint="eastAsia" w:ascii="Times New Roman" w:hAnsi="Times New Roman" w:cs="Times New Roman"/>
          <w:bCs/>
          <w:sz w:val="32"/>
          <w:szCs w:val="32"/>
        </w:rPr>
        <w:t>加强财税部门之间的</w:t>
      </w:r>
      <w:r>
        <w:rPr>
          <w:rFonts w:ascii="Times New Roman" w:hAnsi="Times New Roman" w:cs="Times New Roman"/>
          <w:sz w:val="32"/>
          <w:szCs w:val="32"/>
        </w:rPr>
        <w:t>协调配合，增强税收征管工作的针对性</w:t>
      </w:r>
      <w:r>
        <w:rPr>
          <w:rFonts w:hint="eastAsia" w:ascii="Times New Roman" w:hAnsi="Times New Roman" w:cs="Times New Roman"/>
          <w:sz w:val="32"/>
          <w:szCs w:val="32"/>
        </w:rPr>
        <w:t>、</w:t>
      </w:r>
      <w:r>
        <w:rPr>
          <w:rFonts w:ascii="Times New Roman" w:hAnsi="Times New Roman" w:cs="Times New Roman"/>
          <w:sz w:val="32"/>
          <w:szCs w:val="32"/>
        </w:rPr>
        <w:t>准确性，确保</w:t>
      </w:r>
      <w:r>
        <w:rPr>
          <w:rFonts w:hint="eastAsia" w:ascii="Times New Roman" w:hAnsi="Times New Roman" w:cs="Times New Roman"/>
          <w:sz w:val="32"/>
          <w:szCs w:val="32"/>
        </w:rPr>
        <w:t>各项收入</w:t>
      </w:r>
      <w:r>
        <w:rPr>
          <w:rFonts w:ascii="Times New Roman" w:hAnsi="Times New Roman" w:cs="Times New Roman"/>
          <w:sz w:val="32"/>
          <w:szCs w:val="32"/>
        </w:rPr>
        <w:t>应收尽收。</w:t>
      </w:r>
      <w:r>
        <w:rPr>
          <w:rFonts w:ascii="Times New Roman" w:hAnsi="Times New Roman" w:cs="Times New Roman"/>
          <w:b/>
          <w:bCs/>
          <w:sz w:val="32"/>
          <w:szCs w:val="32"/>
        </w:rPr>
        <w:t>三是</w:t>
      </w:r>
      <w:r>
        <w:rPr>
          <w:rFonts w:ascii="Times New Roman" w:hAnsi="Times New Roman" w:cs="Times New Roman"/>
          <w:sz w:val="32"/>
          <w:szCs w:val="32"/>
        </w:rPr>
        <w:t>从支持小微企业发展、优化企业服务环境、加大基础设施投入、优化财税发展环境等方面</w:t>
      </w:r>
      <w:r>
        <w:rPr>
          <w:rFonts w:hint="eastAsia" w:ascii="Times New Roman" w:hAnsi="Times New Roman" w:cs="Times New Roman"/>
          <w:sz w:val="32"/>
          <w:szCs w:val="32"/>
        </w:rPr>
        <w:t>深挖增收潜力</w:t>
      </w:r>
      <w:r>
        <w:rPr>
          <w:rFonts w:ascii="Times New Roman" w:hAnsi="Times New Roman" w:cs="Times New Roman"/>
          <w:sz w:val="32"/>
          <w:szCs w:val="32"/>
        </w:rPr>
        <w:t>，积极开辟后续税源。</w:t>
      </w:r>
      <w:r>
        <w:rPr>
          <w:rFonts w:ascii="Times New Roman" w:hAnsi="Times New Roman" w:cs="Times New Roman"/>
          <w:b/>
          <w:sz w:val="32"/>
          <w:szCs w:val="32"/>
        </w:rPr>
        <w:t>四是</w:t>
      </w:r>
      <w:r>
        <w:rPr>
          <w:rFonts w:ascii="Times New Roman" w:hAnsi="Times New Roman" w:cs="Times New Roman"/>
          <w:bCs/>
          <w:sz w:val="32"/>
          <w:szCs w:val="32"/>
        </w:rPr>
        <w:t>积极争取上级</w:t>
      </w:r>
      <w:r>
        <w:rPr>
          <w:rFonts w:ascii="Times New Roman" w:hAnsi="Times New Roman" w:cs="Times New Roman"/>
          <w:sz w:val="32"/>
          <w:szCs w:val="32"/>
        </w:rPr>
        <w:t>财政</w:t>
      </w:r>
      <w:r>
        <w:rPr>
          <w:rFonts w:hint="eastAsia" w:ascii="Times New Roman" w:hAnsi="Times New Roman" w:cs="Times New Roman"/>
          <w:sz w:val="32"/>
          <w:szCs w:val="32"/>
        </w:rPr>
        <w:t>支持</w:t>
      </w:r>
      <w:r>
        <w:rPr>
          <w:rFonts w:ascii="Times New Roman" w:hAnsi="Times New Roman" w:cs="Times New Roman"/>
          <w:sz w:val="32"/>
          <w:szCs w:val="32"/>
        </w:rPr>
        <w:t>，认真研究吃透专项扶持政策，组织落实各类扶持资金，全年共争取上级各类转移支付资金26978.32万元，为全镇经济和社会事业发展提供有力保障，有效缓解</w:t>
      </w:r>
      <w:r>
        <w:rPr>
          <w:rFonts w:hint="eastAsia" w:ascii="Times New Roman" w:hAnsi="Times New Roman" w:cs="Times New Roman"/>
          <w:sz w:val="32"/>
          <w:szCs w:val="32"/>
        </w:rPr>
        <w:t>收支矛盾的紧张程度</w:t>
      </w:r>
      <w:r>
        <w:rPr>
          <w:rFonts w:ascii="Times New Roman" w:hAnsi="Times New Roman" w:cs="Times New Roman"/>
          <w:sz w:val="32"/>
          <w:szCs w:val="32"/>
        </w:rPr>
        <w:t>。</w:t>
      </w:r>
    </w:p>
    <w:p>
      <w:pPr>
        <w:spacing w:line="574"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w:t>
      </w:r>
      <w:r>
        <w:rPr>
          <w:rFonts w:hint="eastAsia" w:ascii="楷体_GB2312" w:hAnsi="楷体_GB2312" w:eastAsia="楷体_GB2312" w:cs="楷体_GB2312"/>
          <w:sz w:val="32"/>
          <w:szCs w:val="32"/>
        </w:rPr>
        <w:t>重引导、促发展，预算支出进度加快</w:t>
      </w:r>
    </w:p>
    <w:p>
      <w:pPr>
        <w:spacing w:line="574" w:lineRule="exact"/>
        <w:ind w:firstLine="643" w:firstLineChars="200"/>
        <w:rPr>
          <w:rFonts w:hint="eastAsia" w:ascii="Times New Roman" w:hAnsi="Times New Roman" w:cs="Times New Roman"/>
          <w:bCs/>
          <w:sz w:val="32"/>
          <w:szCs w:val="32"/>
        </w:rPr>
      </w:pPr>
      <w:r>
        <w:rPr>
          <w:rFonts w:hint="eastAsia" w:ascii="Times New Roman" w:hAnsi="Times New Roman" w:cs="Times New Roman"/>
          <w:b/>
          <w:bCs/>
          <w:sz w:val="32"/>
          <w:szCs w:val="32"/>
        </w:rPr>
        <w:t>一是</w:t>
      </w:r>
      <w:r>
        <w:rPr>
          <w:rFonts w:hint="eastAsia" w:ascii="Times New Roman" w:hAnsi="Times New Roman" w:cs="Times New Roman"/>
          <w:bCs/>
          <w:sz w:val="32"/>
          <w:szCs w:val="32"/>
        </w:rPr>
        <w:t>指导、督促各预算单位加快支出进度，提升部门预算特别是项目预算的执行率。</w:t>
      </w:r>
      <w:r>
        <w:rPr>
          <w:rFonts w:hint="eastAsia" w:ascii="Times New Roman" w:hAnsi="Times New Roman" w:cs="Times New Roman"/>
          <w:b/>
          <w:bCs/>
          <w:sz w:val="32"/>
          <w:szCs w:val="32"/>
        </w:rPr>
        <w:t>二是</w:t>
      </w:r>
      <w:r>
        <w:rPr>
          <w:rFonts w:hint="eastAsia" w:ascii="Times New Roman" w:hAnsi="Times New Roman" w:cs="Times New Roman"/>
          <w:bCs/>
          <w:sz w:val="32"/>
          <w:szCs w:val="32"/>
        </w:rPr>
        <w:t>从严控制预算追加，大力压缩一般性支出，推进节约型政府建设。</w:t>
      </w:r>
      <w:r>
        <w:rPr>
          <w:rFonts w:hint="eastAsia" w:ascii="Times New Roman" w:hAnsi="Times New Roman" w:cs="Times New Roman"/>
          <w:b/>
          <w:bCs/>
          <w:sz w:val="32"/>
          <w:szCs w:val="32"/>
        </w:rPr>
        <w:t>三是</w:t>
      </w:r>
      <w:r>
        <w:rPr>
          <w:rFonts w:hint="eastAsia" w:ascii="Times New Roman" w:hAnsi="Times New Roman" w:cs="Times New Roman"/>
          <w:bCs/>
          <w:sz w:val="32"/>
          <w:szCs w:val="32"/>
        </w:rPr>
        <w:t>进一步优化财政支出结构，使支出增长继续向民生方面倾斜、向社会公共领域倾斜，真正将财政资金用于支持企业发展、社会保障等最能发挥效益的地方。</w:t>
      </w:r>
    </w:p>
    <w:p>
      <w:pPr>
        <w:spacing w:line="574"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（三）调结构、保基本，民生福祉持续改善</w:t>
      </w:r>
    </w:p>
    <w:p>
      <w:pPr>
        <w:snapToGrid w:val="0"/>
        <w:spacing w:line="574" w:lineRule="exact"/>
        <w:ind w:firstLine="640"/>
        <w:rPr>
          <w:rFonts w:ascii="Times New Roman" w:hAnsi="Times New Roman" w:cs="Times New Roman"/>
          <w:bCs/>
          <w:sz w:val="32"/>
          <w:szCs w:val="32"/>
        </w:rPr>
      </w:pPr>
      <w:r>
        <w:rPr>
          <w:rFonts w:ascii="Times New Roman" w:hAnsi="Times New Roman" w:cs="Times New Roman"/>
          <w:bCs/>
          <w:sz w:val="32"/>
          <w:szCs w:val="32"/>
        </w:rPr>
        <w:t>始终坚持以人民为中心的发展理念，不断加大保障和改善民生的力度，</w:t>
      </w:r>
      <w:r>
        <w:rPr>
          <w:rFonts w:hint="eastAsia" w:ascii="仿宋_GB2312" w:hAnsi="仿宋_GB2312" w:cs="仿宋_GB2312"/>
          <w:sz w:val="32"/>
          <w:szCs w:val="32"/>
        </w:rPr>
        <w:t>进一步优化支出结构，持续压减一般性支出，</w:t>
      </w:r>
      <w:r>
        <w:rPr>
          <w:rFonts w:ascii="Times New Roman" w:hAnsi="Times New Roman" w:cs="Times New Roman"/>
          <w:bCs/>
          <w:sz w:val="32"/>
          <w:szCs w:val="32"/>
        </w:rPr>
        <w:t>努力让发展成果更多地惠及全镇人民。</w:t>
      </w:r>
      <w:r>
        <w:rPr>
          <w:rFonts w:ascii="Times New Roman" w:hAnsi="Times New Roman" w:cs="Times New Roman"/>
          <w:sz w:val="32"/>
          <w:szCs w:val="32"/>
        </w:rPr>
        <w:t>全年民生支出达</w:t>
      </w:r>
      <w:r>
        <w:rPr>
          <w:rFonts w:hint="eastAsia" w:ascii="Times New Roman" w:hAnsi="Times New Roman" w:cs="Times New Roman"/>
          <w:sz w:val="32"/>
          <w:szCs w:val="32"/>
          <w:lang w:val="en-US" w:eastAsia="zh-CN"/>
        </w:rPr>
        <w:t>39339.48</w:t>
      </w:r>
      <w:r>
        <w:rPr>
          <w:rFonts w:ascii="Times New Roman" w:hAnsi="Times New Roman" w:cs="Times New Roman"/>
          <w:sz w:val="32"/>
          <w:szCs w:val="32"/>
        </w:rPr>
        <w:t>万元，占一般公共预算支出的70.</w:t>
      </w:r>
      <w:r>
        <w:rPr>
          <w:rFonts w:hint="eastAsia" w:ascii="Times New Roman" w:hAnsi="Times New Roman" w:cs="Times New Roman"/>
          <w:sz w:val="32"/>
          <w:szCs w:val="32"/>
          <w:lang w:val="en-US" w:eastAsia="zh-CN"/>
        </w:rPr>
        <w:t>01</w:t>
      </w:r>
      <w:r>
        <w:rPr>
          <w:rFonts w:ascii="Times New Roman" w:hAnsi="Times New Roman" w:cs="Times New Roman"/>
          <w:sz w:val="32"/>
          <w:szCs w:val="32"/>
        </w:rPr>
        <w:t>%。</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一是</w:t>
      </w:r>
      <w:r>
        <w:rPr>
          <w:rFonts w:hint="eastAsia" w:ascii="Times New Roman" w:hAnsi="Times New Roman" w:cs="Times New Roman"/>
          <w:sz w:val="32"/>
          <w:szCs w:val="32"/>
        </w:rPr>
        <w:t>鼓励扶持企业发展。充分发挥财政资金促企业发展的积极效应，2019年省级促进经济高质量发展（民营经济及中小企业发展）和市工业发展专项资金新上规奖励共50家企业，奖励金额421.95万元；2019年省级促进经济高质量发展专项资金中小微企业贷款贴息项目资金共2家企业，奖励金额48.25万元。</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二是</w:t>
      </w:r>
      <w:r>
        <w:rPr>
          <w:rFonts w:hint="eastAsia" w:ascii="Times New Roman" w:hAnsi="Times New Roman" w:cs="Times New Roman"/>
          <w:sz w:val="32"/>
          <w:szCs w:val="32"/>
        </w:rPr>
        <w:t>夯实基础设施建设</w:t>
      </w:r>
      <w:r>
        <w:rPr>
          <w:rFonts w:ascii="Times New Roman" w:hAnsi="Times New Roman" w:cs="Times New Roman"/>
          <w:sz w:val="32"/>
          <w:szCs w:val="32"/>
        </w:rPr>
        <w:t>。统筹资金3587.98万元加大城乡基础设施建设，完成岐江公路两旁人行道升级改造（金兰桥至劳动分局路段）等4个项目工程建设；积极配合推进横栏快线（横西线）、西部外环高速、西二环横栏段、纵四线终点段等四大工程；积极对接深茂铁路、中开高速等重点项目，不断完善综合交通运输网络，全力打造</w:t>
      </w:r>
      <w:r>
        <w:rPr>
          <w:rFonts w:hint="eastAsia" w:ascii="仿宋_GB2312" w:hAnsi="Times New Roman" w:cs="Times New Roman"/>
          <w:sz w:val="32"/>
          <w:szCs w:val="32"/>
        </w:rPr>
        <w:t>“中山西部交通枢纽镇”</w:t>
      </w:r>
      <w:r>
        <w:rPr>
          <w:rFonts w:ascii="Times New Roman" w:hAnsi="Times New Roman" w:cs="Times New Roman"/>
          <w:sz w:val="32"/>
          <w:szCs w:val="32"/>
        </w:rPr>
        <w:t>。</w:t>
      </w:r>
    </w:p>
    <w:p>
      <w:pPr>
        <w:snapToGrid w:val="0"/>
        <w:spacing w:line="574" w:lineRule="exact"/>
        <w:ind w:firstLine="640"/>
        <w:rPr>
          <w:rFonts w:hint="eastAsia" w:ascii="Times New Roman" w:hAnsi="Times New Roman" w:cs="Times New Roman"/>
          <w:sz w:val="32"/>
        </w:rPr>
      </w:pPr>
      <w:r>
        <w:rPr>
          <w:rFonts w:hint="eastAsia" w:ascii="Times New Roman" w:hAnsi="Times New Roman" w:cs="Times New Roman"/>
          <w:b/>
          <w:sz w:val="32"/>
          <w:szCs w:val="32"/>
        </w:rPr>
        <w:t>三是</w:t>
      </w:r>
      <w:r>
        <w:rPr>
          <w:rFonts w:hint="eastAsia" w:ascii="Times New Roman" w:hAnsi="Times New Roman" w:cs="Times New Roman"/>
          <w:sz w:val="32"/>
        </w:rPr>
        <w:t>大力实施乡村振兴战略。全年支农支出4322.72万元，优化财政支农投入。其中投入130万元，推动三沙花木大道提升示范工程建设，促进花木基地提档升级；全面开展农村人居环境整治工作，安排679.90万元推进农村生活污水整治、河涌污染清理、垃圾分类减量、“美丽田园”建设等项目，不断改善农村生产生活条件。</w:t>
      </w:r>
    </w:p>
    <w:p>
      <w:pPr>
        <w:snapToGrid w:val="0"/>
        <w:spacing w:line="574" w:lineRule="exact"/>
        <w:ind w:firstLine="640"/>
        <w:rPr>
          <w:rFonts w:hint="eastAsia" w:ascii="Times New Roman" w:hAnsi="Times New Roman" w:cs="Times New Roman"/>
          <w:b/>
          <w:sz w:val="32"/>
          <w:szCs w:val="32"/>
        </w:rPr>
      </w:pPr>
      <w:r>
        <w:rPr>
          <w:rFonts w:hint="eastAsia" w:ascii="Times New Roman" w:hAnsi="Times New Roman" w:cs="Times New Roman"/>
          <w:b/>
          <w:sz w:val="32"/>
        </w:rPr>
        <w:t>四是</w:t>
      </w:r>
      <w:r>
        <w:rPr>
          <w:rFonts w:hint="eastAsia" w:ascii="Times New Roman" w:hAnsi="Times New Roman" w:cs="Times New Roman"/>
          <w:sz w:val="32"/>
          <w:szCs w:val="32"/>
        </w:rPr>
        <w:t>狠抓生态文明建设。投入1476.71万元，重点推进岐江公路污水主干管、资源化处理中心、大件垃圾和园林垃圾处理中心等工程建设，切实加强水环境整治和城乡生活垃圾治理，打造美丽新横栏。</w:t>
      </w:r>
    </w:p>
    <w:p>
      <w:pPr>
        <w:snapToGrid w:val="0"/>
        <w:spacing w:line="574" w:lineRule="exact"/>
        <w:ind w:firstLine="643" w:firstLineChars="200"/>
        <w:rPr>
          <w:rFonts w:ascii="Times New Roman" w:hAnsi="Times New Roman" w:cs="Times New Roman"/>
          <w:sz w:val="32"/>
          <w:szCs w:val="32"/>
        </w:rPr>
      </w:pPr>
      <w:r>
        <w:rPr>
          <w:rFonts w:hint="eastAsia" w:ascii="Times New Roman" w:hAnsi="Times New Roman" w:cs="Times New Roman"/>
          <w:b/>
          <w:sz w:val="32"/>
          <w:szCs w:val="32"/>
        </w:rPr>
        <w:t>五是</w:t>
      </w:r>
      <w:r>
        <w:rPr>
          <w:rFonts w:hint="eastAsia" w:ascii="Times New Roman" w:hAnsi="Times New Roman" w:cs="Times New Roman"/>
          <w:sz w:val="32"/>
          <w:szCs w:val="32"/>
        </w:rPr>
        <w:t>着力保障基本民生</w:t>
      </w:r>
      <w:r>
        <w:rPr>
          <w:rFonts w:ascii="Times New Roman" w:hAnsi="Times New Roman" w:cs="Times New Roman"/>
          <w:sz w:val="32"/>
          <w:szCs w:val="32"/>
        </w:rPr>
        <w:t>。投入</w:t>
      </w:r>
      <w:r>
        <w:rPr>
          <w:rFonts w:hint="eastAsia" w:ascii="Times New Roman" w:hAnsi="Times New Roman" w:cs="Times New Roman"/>
          <w:sz w:val="32"/>
          <w:szCs w:val="32"/>
          <w:lang w:val="en-US" w:eastAsia="zh-CN"/>
        </w:rPr>
        <w:t>3827.85</w:t>
      </w:r>
      <w:r>
        <w:rPr>
          <w:rFonts w:ascii="Times New Roman" w:hAnsi="Times New Roman" w:cs="Times New Roman"/>
          <w:sz w:val="32"/>
          <w:szCs w:val="32"/>
        </w:rPr>
        <w:t>万元完善社会保障和就业体系，其中发放各类救助金531.87万元</w:t>
      </w:r>
      <w:r>
        <w:rPr>
          <w:rFonts w:hint="eastAsia" w:ascii="Times New Roman" w:hAnsi="Times New Roman" w:cs="Times New Roman"/>
          <w:sz w:val="32"/>
          <w:szCs w:val="32"/>
        </w:rPr>
        <w:t>。</w:t>
      </w:r>
      <w:r>
        <w:rPr>
          <w:rFonts w:ascii="Times New Roman" w:hAnsi="Times New Roman" w:cs="Times New Roman"/>
          <w:sz w:val="32"/>
          <w:szCs w:val="32"/>
        </w:rPr>
        <w:t>启动建设人才活动中心及全市首个镇级人才公寓，打造聚才</w:t>
      </w:r>
      <w:r>
        <w:rPr>
          <w:rFonts w:hint="eastAsia" w:ascii="Times New Roman" w:hAnsi="Times New Roman" w:cs="Times New Roman"/>
          <w:sz w:val="32"/>
          <w:szCs w:val="32"/>
        </w:rPr>
        <w:t>引</w:t>
      </w:r>
      <w:r>
        <w:rPr>
          <w:rFonts w:ascii="Times New Roman" w:hAnsi="Times New Roman" w:cs="Times New Roman"/>
          <w:sz w:val="32"/>
          <w:szCs w:val="32"/>
        </w:rPr>
        <w:t>才新优势。医疗卫生与计划生育支出</w:t>
      </w:r>
      <w:r>
        <w:rPr>
          <w:rFonts w:hint="eastAsia" w:ascii="Times New Roman" w:hAnsi="Times New Roman" w:cs="Times New Roman"/>
          <w:sz w:val="32"/>
          <w:szCs w:val="32"/>
          <w:lang w:val="en-US" w:eastAsia="zh-CN"/>
        </w:rPr>
        <w:t>3252.18</w:t>
      </w:r>
      <w:r>
        <w:rPr>
          <w:rFonts w:ascii="Times New Roman" w:hAnsi="Times New Roman" w:cs="Times New Roman"/>
          <w:sz w:val="32"/>
          <w:szCs w:val="32"/>
        </w:rPr>
        <w:t>万元，推动横栏医院住院部、西冲社区卫生服务站等工程建设，持续优化医疗服务环境；落实</w:t>
      </w:r>
      <w:r>
        <w:rPr>
          <w:rFonts w:hint="eastAsia" w:ascii="仿宋_GB2312" w:hAnsi="Times New Roman" w:cs="Times New Roman"/>
          <w:sz w:val="32"/>
          <w:szCs w:val="32"/>
        </w:rPr>
        <w:t>“名医工程”</w:t>
      </w:r>
      <w:r>
        <w:rPr>
          <w:rFonts w:ascii="Times New Roman" w:hAnsi="Times New Roman" w:cs="Times New Roman"/>
          <w:sz w:val="32"/>
          <w:szCs w:val="32"/>
        </w:rPr>
        <w:t>惠民措施，有效实现医疗资源共享和技术支持。</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六是</w:t>
      </w:r>
      <w:r>
        <w:rPr>
          <w:rFonts w:hint="eastAsia" w:ascii="Times New Roman" w:hAnsi="Times New Roman" w:cs="Times New Roman"/>
          <w:sz w:val="32"/>
          <w:szCs w:val="32"/>
        </w:rPr>
        <w:t>支持教育优先发展</w:t>
      </w:r>
      <w:r>
        <w:rPr>
          <w:rFonts w:ascii="Times New Roman" w:hAnsi="Times New Roman" w:cs="Times New Roman"/>
          <w:sz w:val="32"/>
          <w:szCs w:val="32"/>
        </w:rPr>
        <w:t>。全年教育支出17218.14万元。主要用于完善农村义务教育经费保障机制，逐步提高生均公用经费、提高教师收入，提升教学水平</w:t>
      </w:r>
      <w:r>
        <w:rPr>
          <w:rFonts w:hint="eastAsia" w:ascii="Times New Roman" w:hAnsi="Times New Roman" w:cs="Times New Roman"/>
          <w:sz w:val="32"/>
          <w:szCs w:val="32"/>
        </w:rPr>
        <w:t>。</w:t>
      </w:r>
      <w:r>
        <w:rPr>
          <w:rFonts w:ascii="Times New Roman" w:hAnsi="Times New Roman" w:cs="Times New Roman"/>
          <w:sz w:val="32"/>
          <w:szCs w:val="32"/>
        </w:rPr>
        <w:t>投</w:t>
      </w:r>
      <w:r>
        <w:rPr>
          <w:rFonts w:hint="eastAsia" w:ascii="Times New Roman" w:hAnsi="Times New Roman" w:cs="Times New Roman"/>
          <w:sz w:val="32"/>
          <w:szCs w:val="32"/>
        </w:rPr>
        <w:t>入</w:t>
      </w:r>
      <w:r>
        <w:rPr>
          <w:rFonts w:ascii="Times New Roman" w:hAnsi="Times New Roman" w:cs="Times New Roman"/>
          <w:sz w:val="32"/>
          <w:szCs w:val="32"/>
        </w:rPr>
        <w:t>4104万元改善学校基础设施，推动第二小学教学楼和综合楼、横栏小学综合楼以及第一幼儿园装饰工程建设，努力扩大教育资源供给。</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七是</w:t>
      </w:r>
      <w:r>
        <w:rPr>
          <w:rFonts w:hint="eastAsia" w:ascii="Times New Roman" w:hAnsi="Times New Roman" w:cs="Times New Roman"/>
          <w:sz w:val="32"/>
        </w:rPr>
        <w:t>大力发展</w:t>
      </w:r>
      <w:r>
        <w:rPr>
          <w:rFonts w:ascii="Times New Roman" w:hAnsi="Times New Roman" w:cs="Times New Roman"/>
          <w:sz w:val="32"/>
          <w:szCs w:val="32"/>
        </w:rPr>
        <w:t>文化体育事业。</w:t>
      </w:r>
      <w:r>
        <w:rPr>
          <w:rFonts w:hint="eastAsia" w:ascii="Times New Roman" w:hAnsi="Times New Roman" w:cs="Times New Roman"/>
          <w:sz w:val="32"/>
          <w:szCs w:val="32"/>
        </w:rPr>
        <w:t>在</w:t>
      </w:r>
      <w:r>
        <w:rPr>
          <w:rFonts w:ascii="Times New Roman" w:hAnsi="Times New Roman" w:cs="Times New Roman"/>
          <w:sz w:val="32"/>
          <w:szCs w:val="32"/>
        </w:rPr>
        <w:t>文化体育与传媒</w:t>
      </w:r>
      <w:r>
        <w:rPr>
          <w:rFonts w:hint="eastAsia" w:ascii="Times New Roman" w:hAnsi="Times New Roman" w:cs="Times New Roman"/>
          <w:sz w:val="32"/>
          <w:szCs w:val="32"/>
        </w:rPr>
        <w:t>领域投入</w:t>
      </w:r>
      <w:r>
        <w:rPr>
          <w:rFonts w:ascii="Times New Roman" w:hAnsi="Times New Roman" w:cs="Times New Roman"/>
          <w:sz w:val="32"/>
          <w:szCs w:val="32"/>
        </w:rPr>
        <w:t>1414.49万元，建成我镇首家自助图书馆，实现市、镇、村图书通借通还，基本实现公共文化基础设施网络全覆盖；高标准完成基层综合性文化服务中心建设，实现全镇11个村（社区）100%覆盖；保障文明城镇创建专项经费，城镇面貌得到大幅度提升，2019年度文明程度指数测评总成绩排名全市第一。</w:t>
      </w:r>
    </w:p>
    <w:p>
      <w:pPr>
        <w:snapToGrid w:val="0"/>
        <w:spacing w:line="574" w:lineRule="exact"/>
        <w:ind w:firstLine="640"/>
        <w:rPr>
          <w:rFonts w:hint="eastAsia" w:ascii="Times New Roman" w:hAnsi="Times New Roman" w:cs="Times New Roman"/>
          <w:b/>
          <w:sz w:val="32"/>
        </w:rPr>
      </w:pPr>
      <w:r>
        <w:rPr>
          <w:rFonts w:hint="eastAsia" w:ascii="Times New Roman" w:hAnsi="Times New Roman" w:cs="Times New Roman"/>
          <w:b/>
          <w:sz w:val="32"/>
          <w:szCs w:val="32"/>
        </w:rPr>
        <w:t>八是</w:t>
      </w:r>
      <w:r>
        <w:rPr>
          <w:rFonts w:hint="eastAsia" w:ascii="Times New Roman" w:hAnsi="Times New Roman" w:cs="Times New Roman"/>
          <w:sz w:val="32"/>
        </w:rPr>
        <w:t>深化平安横栏建设。安排8594.05万元支持公共安全建设发展，大力推进</w:t>
      </w:r>
      <w:r>
        <w:rPr>
          <w:rFonts w:hint="eastAsia" w:ascii="Times New Roman" w:hAnsi="Times New Roman" w:cs="Times New Roman"/>
          <w:sz w:val="32"/>
          <w:lang w:eastAsia="zh-CN"/>
        </w:rPr>
        <w:t>扫黑除恶</w:t>
      </w:r>
      <w:r>
        <w:rPr>
          <w:rFonts w:hint="eastAsia" w:ascii="Times New Roman" w:hAnsi="Times New Roman" w:cs="Times New Roman"/>
          <w:sz w:val="32"/>
        </w:rPr>
        <w:t>“飓风2019”“四标四实”基础信息采集等重点工作，社会治安形势稳定向好。</w:t>
      </w:r>
    </w:p>
    <w:p>
      <w:pPr>
        <w:snapToGrid w:val="0"/>
        <w:spacing w:line="574" w:lineRule="exact"/>
        <w:ind w:firstLine="640" w:firstLineChars="200"/>
        <w:rPr>
          <w:rFonts w:ascii="楷体_GB2312" w:hAnsi="仿宋" w:eastAsia="楷体_GB2312"/>
          <w:sz w:val="32"/>
          <w:szCs w:val="32"/>
        </w:rPr>
      </w:pPr>
      <w:r>
        <w:rPr>
          <w:rFonts w:hint="eastAsia" w:ascii="楷体_GB2312" w:hAnsi="仿宋" w:eastAsia="楷体_GB2312"/>
          <w:sz w:val="32"/>
          <w:szCs w:val="32"/>
        </w:rPr>
        <w:t>（四）</w:t>
      </w:r>
      <w:r>
        <w:rPr>
          <w:rFonts w:hint="eastAsia" w:ascii="楷体_GB2312" w:hAnsi="楷体_GB2312" w:eastAsia="楷体_GB2312" w:cs="楷体_GB2312"/>
          <w:sz w:val="32"/>
          <w:szCs w:val="32"/>
        </w:rPr>
        <w:t>严监管、促规范，理财水平有效提升</w:t>
      </w:r>
    </w:p>
    <w:p>
      <w:pPr>
        <w:spacing w:line="574"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一是</w:t>
      </w:r>
      <w:r>
        <w:rPr>
          <w:rFonts w:hint="eastAsia" w:ascii="仿宋_GB2312" w:hAnsi="仿宋_GB2312" w:cs="仿宋_GB2312"/>
          <w:sz w:val="32"/>
          <w:szCs w:val="32"/>
        </w:rPr>
        <w:t>加强监督检查。认真组织开展财政资金监督检查，提高财政资金的使用效益。创新使用动态监管系统，对各级各类财政资金的分配、下达、支付等情况进行各环节全过程监控，实现财政资金运行“过程可记录、风险可预警、责任可追溯”，有效加强资金管理使用。</w:t>
      </w:r>
      <w:r>
        <w:rPr>
          <w:rFonts w:hint="eastAsia" w:ascii="仿宋_GB2312" w:hAnsi="仿宋_GB2312" w:cs="仿宋_GB2312"/>
          <w:b/>
          <w:sz w:val="32"/>
          <w:szCs w:val="32"/>
        </w:rPr>
        <w:t>二是</w:t>
      </w:r>
      <w:r>
        <w:rPr>
          <w:rFonts w:hint="eastAsia" w:ascii="仿宋_GB2312" w:hAnsi="仿宋_GB2312" w:cs="仿宋_GB2312"/>
          <w:sz w:val="32"/>
          <w:szCs w:val="32"/>
        </w:rPr>
        <w:t>加强公车管理。深入推进“私车公养”问题专项检查，制定公务车加油卡使用规范，明确公务车加油卡办理需以单位名义以及“一车一卡专用”等要求。</w:t>
      </w:r>
      <w:r>
        <w:rPr>
          <w:rFonts w:hint="eastAsia" w:ascii="仿宋_GB2312" w:hAnsi="仿宋_GB2312" w:cs="仿宋_GB2312"/>
          <w:b/>
          <w:sz w:val="32"/>
          <w:szCs w:val="32"/>
        </w:rPr>
        <w:t>三是</w:t>
      </w:r>
      <w:r>
        <w:rPr>
          <w:rFonts w:hint="eastAsia" w:ascii="仿宋_GB2312" w:hAnsi="仿宋_GB2312" w:cs="仿宋_GB2312"/>
          <w:sz w:val="32"/>
          <w:szCs w:val="32"/>
        </w:rPr>
        <w:t>加强非税收入管理。参照上级法律法规，结合我镇实际，制定出台《横栏镇非税收入管理暂行办法》，加强对非税收入管理工作的指导，促进各执收单位规范非税收入征管工作。</w:t>
      </w:r>
      <w:r>
        <w:rPr>
          <w:rFonts w:hint="eastAsia" w:ascii="仿宋_GB2312" w:hAnsi="仿宋_GB2312" w:cs="仿宋_GB2312"/>
          <w:b/>
          <w:sz w:val="32"/>
          <w:szCs w:val="32"/>
        </w:rPr>
        <w:t>四是</w:t>
      </w:r>
      <w:r>
        <w:rPr>
          <w:rFonts w:hint="eastAsia" w:ascii="仿宋_GB2312" w:hAnsi="仿宋_GB2312" w:cs="仿宋_GB2312"/>
          <w:sz w:val="32"/>
          <w:szCs w:val="32"/>
        </w:rPr>
        <w:t>加强农村财务管理。制定出台《横栏镇关于进一步加强和完善农村财务管理工作的指导意见》，强化财政部门对农村财务会计工作的监督管理职能。</w:t>
      </w:r>
    </w:p>
    <w:p>
      <w:pPr>
        <w:spacing w:line="574" w:lineRule="exact"/>
        <w:ind w:firstLine="640" w:firstLineChars="200"/>
        <w:rPr>
          <w:rFonts w:ascii="仿宋" w:hAnsi="仿宋" w:eastAsia="仿宋" w:cs="仿宋"/>
          <w:sz w:val="32"/>
          <w:szCs w:val="32"/>
        </w:rPr>
      </w:pPr>
      <w:r>
        <w:rPr>
          <w:rFonts w:hint="eastAsia" w:ascii="Times New Roman" w:hAnsi="Times New Roman" w:cs="Times New Roman"/>
          <w:sz w:val="32"/>
          <w:szCs w:val="32"/>
        </w:rPr>
        <w:t>回顾过去</w:t>
      </w:r>
      <w:r>
        <w:rPr>
          <w:rFonts w:ascii="Times New Roman" w:hAnsi="Times New Roman" w:cs="Times New Roman"/>
          <w:sz w:val="32"/>
          <w:szCs w:val="32"/>
        </w:rPr>
        <w:t>，全镇财政工作取得的成绩来之不易。这是镇党委、政府科学决策、正确领导的结果，是镇人大加强监督、有力指导的结果，是全镇人民艰苦奋斗、共同努力的结果。</w:t>
      </w:r>
      <w:r>
        <w:rPr>
          <w:rFonts w:hint="eastAsia" w:ascii="Times New Roman" w:hAnsi="Times New Roman" w:cs="Times New Roman"/>
          <w:sz w:val="32"/>
          <w:szCs w:val="32"/>
        </w:rPr>
        <w:t>在肯定成绩的同时</w:t>
      </w:r>
      <w:r>
        <w:rPr>
          <w:rFonts w:ascii="Times New Roman" w:hAnsi="Times New Roman" w:cs="Times New Roman"/>
          <w:sz w:val="32"/>
          <w:szCs w:val="32"/>
        </w:rPr>
        <w:t>，我们也清醒地认识到财政改革发展面临的问题与挑战，主要表现在：</w:t>
      </w:r>
      <w:r>
        <w:rPr>
          <w:rFonts w:ascii="Times New Roman" w:hAnsi="Times New Roman" w:cs="Times New Roman"/>
          <w:b/>
          <w:bCs/>
          <w:sz w:val="32"/>
          <w:szCs w:val="32"/>
        </w:rPr>
        <w:t>一是</w:t>
      </w:r>
      <w:r>
        <w:rPr>
          <w:rFonts w:hint="eastAsia" w:ascii="仿宋_GB2312" w:hAnsi="仿宋_GB2312" w:cs="仿宋_GB2312"/>
          <w:color w:val="000000"/>
          <w:sz w:val="32"/>
          <w:szCs w:val="32"/>
        </w:rPr>
        <w:t>我镇缺乏支柱性税源，</w:t>
      </w:r>
      <w:r>
        <w:rPr>
          <w:rFonts w:ascii="Times New Roman" w:hAnsi="Times New Roman" w:cs="Times New Roman"/>
          <w:bCs/>
          <w:sz w:val="32"/>
          <w:szCs w:val="32"/>
        </w:rPr>
        <w:t>经济下行压力持续影响财政收入增长，加之国家结构性减税等政策性减收因素增加，可用财力增</w:t>
      </w:r>
      <w:r>
        <w:rPr>
          <w:rFonts w:hint="eastAsia" w:ascii="Times New Roman" w:hAnsi="Times New Roman" w:cs="Times New Roman"/>
          <w:bCs/>
          <w:sz w:val="32"/>
          <w:szCs w:val="32"/>
        </w:rPr>
        <w:t>长</w:t>
      </w:r>
      <w:r>
        <w:rPr>
          <w:rFonts w:ascii="Times New Roman" w:hAnsi="Times New Roman" w:cs="Times New Roman"/>
          <w:bCs/>
          <w:sz w:val="32"/>
          <w:szCs w:val="32"/>
        </w:rPr>
        <w:t>有限</w:t>
      </w:r>
      <w:r>
        <w:rPr>
          <w:rFonts w:ascii="Times New Roman" w:hAnsi="Times New Roman" w:cs="Times New Roman"/>
          <w:sz w:val="32"/>
          <w:szCs w:val="32"/>
        </w:rPr>
        <w:t>。</w:t>
      </w:r>
      <w:r>
        <w:rPr>
          <w:rFonts w:ascii="Times New Roman" w:hAnsi="Times New Roman" w:cs="Times New Roman"/>
          <w:b/>
          <w:bCs/>
          <w:sz w:val="32"/>
          <w:szCs w:val="32"/>
        </w:rPr>
        <w:t>二是</w:t>
      </w:r>
      <w:r>
        <w:rPr>
          <w:rFonts w:ascii="Times New Roman" w:hAnsi="Times New Roman" w:cs="Times New Roman"/>
          <w:sz w:val="32"/>
          <w:szCs w:val="32"/>
        </w:rPr>
        <w:t>政策性增支因素大幅度增多，工资调整、教育、医疗卫生、社会保障等刚性支出持续增加，财政收支矛盾进一步加剧。针对这些问题，我们将高度重视，深入分析原因，采取有力措施，认真加以解决。</w:t>
      </w:r>
    </w:p>
    <w:p>
      <w:pPr>
        <w:snapToGrid w:val="0"/>
        <w:spacing w:line="574" w:lineRule="exact"/>
        <w:jc w:val="center"/>
        <w:rPr>
          <w:rFonts w:ascii="Times New Roman" w:hAnsi="Times New Roman" w:eastAsia="黑体"/>
          <w:sz w:val="32"/>
          <w:szCs w:val="32"/>
        </w:rPr>
      </w:pPr>
    </w:p>
    <w:p>
      <w:pPr>
        <w:snapToGrid w:val="0"/>
        <w:spacing w:line="574" w:lineRule="exact"/>
        <w:jc w:val="center"/>
        <w:rPr>
          <w:rFonts w:ascii="Times New Roman" w:hAnsi="Times New Roman" w:eastAsia="黑体" w:cstheme="minorBidi"/>
          <w:sz w:val="32"/>
          <w:szCs w:val="32"/>
        </w:rPr>
      </w:pPr>
      <w:r>
        <w:rPr>
          <w:rFonts w:hint="eastAsia" w:ascii="Times New Roman" w:hAnsi="Times New Roman" w:eastAsia="黑体" w:cstheme="minorBidi"/>
          <w:sz w:val="32"/>
          <w:szCs w:val="32"/>
        </w:rPr>
        <w:t>2020年财政收支预算（草案）及工作安排</w:t>
      </w:r>
    </w:p>
    <w:p>
      <w:pPr>
        <w:snapToGrid w:val="0"/>
        <w:spacing w:line="574" w:lineRule="exact"/>
        <w:jc w:val="center"/>
        <w:rPr>
          <w:rFonts w:ascii="黑体" w:hAnsi="黑体" w:eastAsia="黑体"/>
          <w:sz w:val="32"/>
          <w:szCs w:val="32"/>
        </w:rPr>
      </w:pPr>
    </w:p>
    <w:p>
      <w:p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2020年是</w:t>
      </w:r>
      <w:r>
        <w:rPr>
          <w:rFonts w:hint="eastAsia" w:ascii="仿宋_GB2312" w:hAnsi="Times New Roman" w:cs="Times New Roman"/>
          <w:sz w:val="32"/>
          <w:szCs w:val="32"/>
        </w:rPr>
        <w:t>“十三五”规</w:t>
      </w:r>
      <w:r>
        <w:rPr>
          <w:rFonts w:ascii="Times New Roman" w:hAnsi="Times New Roman" w:cs="Times New Roman"/>
          <w:sz w:val="32"/>
          <w:szCs w:val="32"/>
        </w:rPr>
        <w:t>划收官之年，是决胜全面建成小康社会第一个百年奋斗目标的关键之年。在镇党委、政府的坚强领导下，在镇人大的监督下，</w:t>
      </w:r>
      <w:r>
        <w:rPr>
          <w:rFonts w:hint="eastAsia" w:ascii="Times New Roman" w:hAnsi="Times New Roman" w:cs="Times New Roman"/>
          <w:sz w:val="32"/>
          <w:szCs w:val="32"/>
        </w:rPr>
        <w:t>镇财政将继续坚持“统筹兼顾、勤俭节约、量力而行、讲求绩效、收支平衡”原则，</w:t>
      </w:r>
      <w:r>
        <w:rPr>
          <w:rFonts w:hint="eastAsia" w:ascii="仿宋_GB2312" w:hAnsi="仿宋_GB2312" w:cs="仿宋_GB2312"/>
          <w:sz w:val="32"/>
          <w:szCs w:val="32"/>
        </w:rPr>
        <w:t>紧紧围绕镇党委、政府确定的发展战略目标，积极筹措财力过好“三个年”、办好“三件事”，持续优化财政支出结构，</w:t>
      </w:r>
      <w:r>
        <w:rPr>
          <w:rFonts w:ascii="Times New Roman" w:hAnsi="Times New Roman" w:cs="Times New Roman"/>
          <w:sz w:val="32"/>
          <w:szCs w:val="32"/>
        </w:rPr>
        <w:t>为全</w:t>
      </w:r>
      <w:r>
        <w:rPr>
          <w:rFonts w:hint="eastAsia" w:ascii="Times New Roman" w:hAnsi="Times New Roman" w:cs="Times New Roman"/>
          <w:sz w:val="32"/>
          <w:szCs w:val="32"/>
        </w:rPr>
        <w:t>镇</w:t>
      </w:r>
      <w:r>
        <w:rPr>
          <w:rFonts w:ascii="Times New Roman" w:hAnsi="Times New Roman" w:cs="Times New Roman"/>
          <w:sz w:val="32"/>
          <w:szCs w:val="32"/>
        </w:rPr>
        <w:t>经济平稳健康较快发展和社会和谐稳定提供</w:t>
      </w:r>
      <w:r>
        <w:rPr>
          <w:rFonts w:hint="eastAsia" w:ascii="Times New Roman" w:hAnsi="Times New Roman" w:cs="Times New Roman"/>
          <w:sz w:val="32"/>
          <w:szCs w:val="32"/>
        </w:rPr>
        <w:t>坚强</w:t>
      </w:r>
      <w:r>
        <w:rPr>
          <w:rFonts w:ascii="Times New Roman" w:hAnsi="Times New Roman" w:cs="Times New Roman"/>
          <w:sz w:val="32"/>
          <w:szCs w:val="32"/>
        </w:rPr>
        <w:t xml:space="preserve">的财力支撑 </w:t>
      </w:r>
      <w:r>
        <w:rPr>
          <w:rFonts w:hint="eastAsia" w:ascii="Times New Roman" w:hAnsi="Times New Roman" w:cs="Times New Roman"/>
          <w:sz w:val="32"/>
          <w:szCs w:val="32"/>
        </w:rPr>
        <w:t>。</w:t>
      </w:r>
    </w:p>
    <w:p>
      <w:pPr>
        <w:snapToGrid w:val="0"/>
        <w:spacing w:line="574"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一、2020年财政收支预算（草案）</w:t>
      </w:r>
    </w:p>
    <w:p>
      <w:pPr>
        <w:snapToGrid w:val="0"/>
        <w:spacing w:line="574" w:lineRule="exact"/>
        <w:ind w:firstLine="640" w:firstLineChars="200"/>
        <w:rPr>
          <w:rFonts w:ascii="Times New Roman" w:hAnsi="Times New Roman"/>
          <w:sz w:val="32"/>
          <w:szCs w:val="32"/>
        </w:rPr>
      </w:pPr>
      <w:r>
        <w:rPr>
          <w:rFonts w:ascii="楷体_GB2312" w:hAnsi="楷体_GB2312" w:eastAsia="楷体_GB2312" w:cs="楷体_GB2312"/>
          <w:sz w:val="32"/>
          <w:szCs w:val="32"/>
        </w:rPr>
        <w:t>（一）公共财政预算收支情况</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rPr>
        <w:t>．</w:t>
      </w:r>
      <w:r>
        <w:rPr>
          <w:rFonts w:ascii="Times New Roman" w:hAnsi="Times New Roman" w:cs="Times New Roman"/>
          <w:sz w:val="32"/>
          <w:szCs w:val="32"/>
        </w:rPr>
        <w:t>公共财政预算收入。2020年我镇公共财政预算总收入      110284.47万元，比2019年实际完成数增长65.14 %。其中：一般公共预算收入48393万元；上级补助收入20290万元；债务转贷收入1000万元；调入资金40601.47万元。全镇一般公共预算收入具体情况如下：</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（1）税收分成收入26000万元。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（2）专项收入（教育费附加、残疾人就业保障和地方教育费附加收入）3200万元。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（3）行政事业性收费收入2678万元。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（4）罚没收入1355万元。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（5）国有资源有偿使用收入14884万元。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（6）国有资本经营收入33万元。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（7）其他收入243万元。</w:t>
      </w:r>
    </w:p>
    <w:p>
      <w:pPr>
        <w:snapToGrid w:val="0"/>
        <w:spacing w:line="574" w:lineRule="exact"/>
        <w:ind w:firstLine="800" w:firstLineChars="25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rPr>
        <w:t>．</w:t>
      </w:r>
      <w:r>
        <w:rPr>
          <w:rFonts w:ascii="Times New Roman" w:hAnsi="Times New Roman" w:cs="Times New Roman"/>
          <w:sz w:val="32"/>
          <w:szCs w:val="32"/>
        </w:rPr>
        <w:t>公共财政支出预算。2020年安排支出115884.40万元，比2019年实际完成数增长66.02%。具体如下：</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（1）一般公共服务支出15984.57万元。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（2）公共安全支出11980.87万元。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（3）教育支出28020.91万元。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（4）科学技术投入2439.69万元。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（5）文化、体育及传媒支出2354.14万元。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（6）社会保障与就业支出</w:t>
      </w:r>
      <w:r>
        <w:rPr>
          <w:rFonts w:hint="eastAsia" w:ascii="Times New Roman" w:hAnsi="Times New Roman" w:cs="Times New Roman"/>
          <w:sz w:val="32"/>
          <w:szCs w:val="32"/>
          <w:lang w:val="en-US" w:eastAsia="zh-CN"/>
        </w:rPr>
        <w:t>6299.97</w:t>
      </w:r>
      <w:r>
        <w:rPr>
          <w:rFonts w:ascii="Times New Roman" w:hAnsi="Times New Roman" w:cs="Times New Roman"/>
          <w:sz w:val="32"/>
          <w:szCs w:val="32"/>
        </w:rPr>
        <w:t>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（7）医疗卫生支出</w:t>
      </w:r>
      <w:r>
        <w:rPr>
          <w:rFonts w:hint="eastAsia" w:ascii="Times New Roman" w:hAnsi="Times New Roman" w:cs="Times New Roman"/>
          <w:sz w:val="32"/>
          <w:szCs w:val="32"/>
          <w:lang w:val="en-US" w:eastAsia="zh-CN"/>
        </w:rPr>
        <w:t>6057.44</w:t>
      </w:r>
      <w:r>
        <w:rPr>
          <w:rFonts w:ascii="Times New Roman" w:hAnsi="Times New Roman" w:cs="Times New Roman"/>
          <w:sz w:val="32"/>
          <w:szCs w:val="32"/>
        </w:rPr>
        <w:t>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（8）节能环保支出3515.95万元。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（9）城乡社区事务支出5136.80万元。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（10）农林水事务支出16655.46万元。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（11）交通运输支出75.02万元。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（12）住房保障支出2.40万元。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（13）自然资源海洋气象等支出207万元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（14）粮油物资储备支出225.80万元。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（15）债务付息支出1946.94万元。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（16）一般债务还本支出981.44万元。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（17）上解支出13400万元。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（18）预备费600万元。</w:t>
      </w:r>
    </w:p>
    <w:p>
      <w:pPr>
        <w:snapToGrid w:val="0"/>
        <w:spacing w:line="574" w:lineRule="exact"/>
        <w:ind w:firstLine="800" w:firstLineChars="250"/>
        <w:rPr>
          <w:rFonts w:ascii="Times New Roman" w:hAnsi="Times New Roman" w:cs="Times New Roman"/>
          <w:sz w:val="32"/>
          <w:szCs w:val="32"/>
        </w:rPr>
      </w:pPr>
      <w:r>
        <w:rPr>
          <w:rFonts w:ascii="Times New Roman" w:hAnsi="Times New Roman" w:cs="Times New Roman"/>
          <w:sz w:val="32"/>
          <w:szCs w:val="32"/>
        </w:rPr>
        <w:t>2020年，全镇可支配公共财政预算总收入共110284.47万元，加上年结转（市级拨款）</w:t>
      </w:r>
      <w:r>
        <w:rPr>
          <w:rFonts w:ascii="Times New Roman" w:hAnsi="Times New Roman" w:cs="Times New Roman"/>
          <w:sz w:val="32"/>
        </w:rPr>
        <w:t>5676</w:t>
      </w:r>
      <w:r>
        <w:rPr>
          <w:rFonts w:ascii="Times New Roman" w:hAnsi="Times New Roman" w:cs="Times New Roman"/>
          <w:sz w:val="32"/>
          <w:szCs w:val="32"/>
        </w:rPr>
        <w:t>万元，减全年公共财政预算支出115884.40万元，累计结余76.07万元。</w:t>
      </w:r>
    </w:p>
    <w:p>
      <w:pPr>
        <w:snapToGrid w:val="0"/>
        <w:spacing w:line="57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（二）政府性基金预算</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2020年基金预算收入49884万元，其中：国有土地使用权出让金收入48000万元；城市污水处理费收入1884万元。上年结余1532.47万元。安排基金预算支出10815万元，其中：国有土地使用权出让金支出7917.40万元；城市污水处理建设支出2247.60万元；债务付息支出650万元。调出资金40601.47万元。</w:t>
      </w:r>
    </w:p>
    <w:p>
      <w:pPr>
        <w:snapToGrid w:val="0"/>
        <w:spacing w:line="57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（三）财政专户管理资金预算</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财政专户管理资金预算收入4915.82万元，预算支出4915.82万元。</w:t>
      </w:r>
    </w:p>
    <w:p>
      <w:pPr>
        <w:snapToGrid w:val="0"/>
        <w:spacing w:line="574" w:lineRule="exact"/>
        <w:ind w:firstLine="627" w:firstLineChars="196"/>
        <w:rPr>
          <w:rFonts w:ascii="黑体" w:hAnsi="黑体" w:eastAsia="黑体"/>
          <w:b/>
          <w:bCs/>
          <w:sz w:val="32"/>
          <w:szCs w:val="32"/>
        </w:rPr>
      </w:pPr>
      <w:r>
        <w:rPr>
          <w:rFonts w:hint="eastAsia" w:ascii="黑体" w:hAnsi="黑体" w:eastAsia="黑体"/>
          <w:sz w:val="32"/>
          <w:szCs w:val="32"/>
        </w:rPr>
        <w:t>二、</w:t>
      </w:r>
      <w:r>
        <w:rPr>
          <w:rFonts w:hint="eastAsia" w:ascii="Times New Roman" w:hAnsi="Times New Roman" w:eastAsia="黑体"/>
          <w:sz w:val="32"/>
          <w:szCs w:val="32"/>
        </w:rPr>
        <w:t>2020</w:t>
      </w:r>
      <w:r>
        <w:rPr>
          <w:rFonts w:hint="eastAsia" w:ascii="黑体" w:hAnsi="黑体" w:eastAsia="黑体"/>
          <w:sz w:val="32"/>
          <w:szCs w:val="32"/>
        </w:rPr>
        <w:t>年财政主要工作思路</w:t>
      </w:r>
    </w:p>
    <w:p>
      <w:pPr>
        <w:spacing w:line="574" w:lineRule="exact"/>
        <w:ind w:left="640"/>
        <w:rPr>
          <w:rFonts w:ascii="楷体_GB2312" w:hAnsi="楷体_GB2312" w:eastAsia="楷体_GB2312" w:cs="楷体_GB2312"/>
          <w:sz w:val="32"/>
          <w:szCs w:val="32"/>
        </w:rPr>
      </w:pPr>
      <w:r>
        <w:rPr>
          <w:rFonts w:hint="eastAsia" w:ascii="楷体_GB2312" w:hAnsi="楷体_GB2312" w:eastAsia="楷体_GB2312" w:cs="楷体_GB2312"/>
          <w:sz w:val="32"/>
          <w:szCs w:val="32"/>
        </w:rPr>
        <w:t>（一）突出实效培财源，助推经济高质量发展</w:t>
      </w:r>
    </w:p>
    <w:p>
      <w:pPr>
        <w:spacing w:line="574" w:lineRule="exact"/>
        <w:ind w:firstLine="643" w:firstLineChars="200"/>
        <w:rPr>
          <w:rFonts w:hint="eastAsia" w:ascii="仿宋_GB2312" w:hAnsi="仿宋_GB2312" w:cs="仿宋_GB2312"/>
          <w:color w:val="000000"/>
          <w:sz w:val="32"/>
          <w:szCs w:val="32"/>
        </w:rPr>
      </w:pPr>
      <w:r>
        <w:rPr>
          <w:rFonts w:hint="eastAsia" w:ascii="仿宋_GB2312" w:hAnsi="仿宋_GB2312" w:cs="仿宋_GB2312"/>
          <w:b/>
          <w:color w:val="000000"/>
          <w:sz w:val="32"/>
          <w:szCs w:val="32"/>
        </w:rPr>
        <w:t>一是</w:t>
      </w:r>
      <w:r>
        <w:rPr>
          <w:rFonts w:hint="eastAsia" w:ascii="仿宋_GB2312" w:hAnsi="仿宋_GB2312" w:cs="仿宋_GB2312"/>
          <w:color w:val="000000"/>
          <w:sz w:val="32"/>
          <w:szCs w:val="32"/>
        </w:rPr>
        <w:t>用好用活产业类资金。发挥财政资金引导作用，培育壮大基础财源，引导社会资本投入，重点支持税收贡献大、成长性好、社会效益高的企业促进经济转型升级，以及经济财政良性互动。</w:t>
      </w:r>
      <w:r>
        <w:rPr>
          <w:rFonts w:hint="eastAsia" w:ascii="仿宋_GB2312" w:hAnsi="仿宋_GB2312" w:cs="仿宋_GB2312"/>
          <w:b/>
          <w:color w:val="000000"/>
          <w:sz w:val="32"/>
          <w:szCs w:val="32"/>
        </w:rPr>
        <w:t>二是</w:t>
      </w:r>
      <w:r>
        <w:rPr>
          <w:rFonts w:hint="eastAsia" w:ascii="仿宋_GB2312" w:hAnsi="仿宋_GB2312" w:cs="仿宋_GB2312"/>
          <w:color w:val="000000"/>
          <w:sz w:val="32"/>
          <w:szCs w:val="32"/>
        </w:rPr>
        <w:t>完善财政激励引导机制。不断优化营商环境，全面落实各项惠企暖企优惠政策，深化“放管服”改革，建立程序便利、流程优化、资源集约的涉企事项办理模式；创新招商引资财政引导机制，突出税收贡献率，真正把高附加值、高税收的产业项目引进来。</w:t>
      </w:r>
      <w:r>
        <w:rPr>
          <w:rFonts w:hint="eastAsia" w:ascii="仿宋_GB2312" w:hAnsi="仿宋_GB2312" w:cs="仿宋_GB2312"/>
          <w:b/>
          <w:color w:val="000000"/>
          <w:sz w:val="32"/>
          <w:szCs w:val="32"/>
        </w:rPr>
        <w:t>三是</w:t>
      </w:r>
      <w:r>
        <w:rPr>
          <w:rFonts w:hint="eastAsia" w:ascii="仿宋_GB2312" w:hAnsi="仿宋_GB2312" w:cs="仿宋_GB2312"/>
          <w:color w:val="000000"/>
          <w:sz w:val="32"/>
          <w:szCs w:val="32"/>
        </w:rPr>
        <w:t>积极争取上级资金支持。把准省、市宏观政策，力争在获得对上政策、项目和资金等方面的支持上实现新突破。</w:t>
      </w:r>
    </w:p>
    <w:p>
      <w:pPr>
        <w:spacing w:line="574" w:lineRule="exact"/>
        <w:ind w:left="640"/>
        <w:rPr>
          <w:rFonts w:ascii="楷体_GB2312" w:hAnsi="楷体_GB2312" w:eastAsia="楷体_GB2312" w:cs="楷体_GB2312"/>
          <w:sz w:val="32"/>
          <w:szCs w:val="32"/>
        </w:rPr>
      </w:pPr>
      <w:r>
        <w:rPr>
          <w:rFonts w:hint="eastAsia" w:ascii="楷体_GB2312" w:hAnsi="楷体_GB2312" w:eastAsia="楷体_GB2312" w:cs="楷体_GB2312"/>
          <w:sz w:val="32"/>
          <w:szCs w:val="32"/>
        </w:rPr>
        <w:t>（二）有保有压控支出，全力保障重点领域优先</w:t>
      </w:r>
    </w:p>
    <w:p>
      <w:pPr>
        <w:snapToGrid w:val="0"/>
        <w:spacing w:line="574"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一是</w:t>
      </w:r>
      <w:r>
        <w:rPr>
          <w:rFonts w:hint="eastAsia" w:ascii="仿宋_GB2312" w:hAnsi="仿宋_GB2312" w:cs="仿宋_GB2312"/>
          <w:sz w:val="32"/>
          <w:szCs w:val="32"/>
        </w:rPr>
        <w:t>深入实施创新驱动发展。贯彻落实《横栏镇实施科技创新驱动战略促进产业转型升级奖励资金管理办法》等扶持政策，引导传统产业加快转型升级。</w:t>
      </w:r>
      <w:r>
        <w:rPr>
          <w:rFonts w:hint="eastAsia" w:ascii="仿宋_GB2312" w:hAnsi="仿宋_GB2312" w:cs="仿宋_GB2312"/>
          <w:b/>
          <w:sz w:val="32"/>
          <w:szCs w:val="32"/>
        </w:rPr>
        <w:t>二是</w:t>
      </w:r>
      <w:r>
        <w:rPr>
          <w:rFonts w:hint="eastAsia" w:ascii="仿宋_GB2312" w:hAnsi="仿宋_GB2312" w:cs="仿宋_GB2312"/>
          <w:sz w:val="32"/>
          <w:szCs w:val="32"/>
        </w:rPr>
        <w:t>全力支持交通基础设施建设。积极配合西部外环高速、中开高速、深茂铁路等重大交通基础设施建设，全力打造“中山西部交通枢纽镇”，着力建设成为连接粤港澳大湾区、深圳先行示范区的重要交通节点。</w:t>
      </w:r>
      <w:r>
        <w:rPr>
          <w:rFonts w:hint="eastAsia" w:ascii="仿宋_GB2312" w:hAnsi="仿宋_GB2312" w:cs="仿宋_GB2312"/>
          <w:b/>
          <w:sz w:val="32"/>
          <w:szCs w:val="32"/>
        </w:rPr>
        <w:t>三是</w:t>
      </w:r>
      <w:r>
        <w:rPr>
          <w:rFonts w:hint="eastAsia" w:ascii="仿宋_GB2312" w:hAnsi="仿宋_GB2312" w:cs="仿宋_GB2312"/>
          <w:sz w:val="32"/>
          <w:szCs w:val="32"/>
        </w:rPr>
        <w:t>大力实施乡村振兴战略。持续推进省级现代产业园建设，努力建设成为华南地区花木产业集散中心。加快推动</w:t>
      </w:r>
      <w:r>
        <w:rPr>
          <w:rFonts w:hint="eastAsia" w:ascii="仿宋_GB2312" w:hAnsi="仿宋_GB2312" w:cs="仿宋_GB2312"/>
          <w:sz w:val="32"/>
          <w:szCs w:val="32"/>
          <w:lang w:eastAsia="zh-CN"/>
        </w:rPr>
        <w:t>横东</w:t>
      </w:r>
      <w:r>
        <w:rPr>
          <w:rFonts w:hint="eastAsia" w:ascii="仿宋_GB2312" w:hAnsi="仿宋_GB2312" w:cs="仿宋_GB2312"/>
          <w:sz w:val="32"/>
          <w:szCs w:val="32"/>
        </w:rPr>
        <w:t>、横西、六沙、宝裕等</w:t>
      </w:r>
      <w:r>
        <w:rPr>
          <w:rFonts w:ascii="Times New Roman" w:hAnsi="Times New Roman" w:cs="Times New Roman"/>
          <w:sz w:val="32"/>
          <w:szCs w:val="32"/>
        </w:rPr>
        <w:t>4</w:t>
      </w:r>
      <w:r>
        <w:rPr>
          <w:rFonts w:hint="eastAsia" w:ascii="仿宋_GB2312" w:hAnsi="仿宋_GB2312" w:cs="仿宋_GB2312"/>
          <w:sz w:val="32"/>
          <w:szCs w:val="32"/>
        </w:rPr>
        <w:t>个美丽宜居村建设。严格落实各项涉农补贴政策，促进农业增效、农民增收。</w:t>
      </w:r>
      <w:r>
        <w:rPr>
          <w:rFonts w:hint="eastAsia" w:ascii="仿宋_GB2312" w:hAnsi="仿宋_GB2312" w:cs="仿宋_GB2312"/>
          <w:b/>
          <w:bCs/>
          <w:sz w:val="32"/>
          <w:szCs w:val="32"/>
        </w:rPr>
        <w:t>四是</w:t>
      </w:r>
      <w:r>
        <w:rPr>
          <w:rFonts w:hint="eastAsia" w:ascii="仿宋_GB2312" w:hAnsi="仿宋_GB2312" w:cs="仿宋_GB2312"/>
          <w:sz w:val="32"/>
          <w:szCs w:val="32"/>
        </w:rPr>
        <w:t>着力保障和改善民生。把稳就业作为重中之重，突出做好支持高校毕业生、退役军人等重点人群就业工作。夯实教育教学硬件设施，加快推进</w:t>
      </w:r>
      <w:r>
        <w:rPr>
          <w:rFonts w:hint="eastAsia" w:ascii="仿宋_GB2312" w:hAnsi="仿宋_GB2312" w:cs="仿宋_GB2312"/>
          <w:sz w:val="32"/>
          <w:szCs w:val="32"/>
          <w:lang w:eastAsia="zh-CN"/>
        </w:rPr>
        <w:t>公办中小学学位和普惠性幼儿园建设进度</w:t>
      </w:r>
      <w:r>
        <w:rPr>
          <w:rFonts w:hint="eastAsia" w:ascii="仿宋_GB2312" w:hAnsi="仿宋_GB2312" w:cs="仿宋_GB2312"/>
          <w:sz w:val="32"/>
          <w:szCs w:val="32"/>
        </w:rPr>
        <w:t>，力促学校扩容提质。加大医疗卫生投入，稳步推进名中医工作室项目建设，建立慢病工作站，加快促进优质医疗资源下沉。</w:t>
      </w:r>
      <w:r>
        <w:rPr>
          <w:rFonts w:hint="eastAsia" w:ascii="仿宋_GB2312" w:hAnsi="仿宋_GB2312" w:cs="仿宋_GB2312"/>
          <w:sz w:val="32"/>
          <w:szCs w:val="32"/>
          <w:lang w:eastAsia="zh-CN"/>
        </w:rPr>
        <w:t>新增专项经费全力抗击新冠肺炎疫情，确保打赢疫情防控阻击战，守护人民群众生命安全和身体健康。</w:t>
      </w:r>
      <w:r>
        <w:rPr>
          <w:rFonts w:hint="eastAsia" w:ascii="仿宋_GB2312" w:hAnsi="仿宋_GB2312" w:cs="仿宋_GB2312"/>
          <w:sz w:val="32"/>
          <w:szCs w:val="32"/>
        </w:rPr>
        <w:t>加大平安横栏建设力度，建立健全社会治安防控体系。</w:t>
      </w:r>
      <w:r>
        <w:rPr>
          <w:rFonts w:hint="eastAsia" w:ascii="仿宋_GB2312" w:hAnsi="仿宋_GB2312" w:cs="仿宋_GB2312"/>
          <w:b/>
          <w:bCs/>
          <w:sz w:val="32"/>
          <w:szCs w:val="32"/>
          <w:lang w:eastAsia="zh-CN"/>
        </w:rPr>
        <w:t>五是</w:t>
      </w:r>
      <w:r>
        <w:rPr>
          <w:rFonts w:hint="eastAsia" w:ascii="仿宋_GB2312" w:hAnsi="仿宋_GB2312" w:cs="仿宋_GB2312"/>
          <w:sz w:val="32"/>
          <w:szCs w:val="32"/>
          <w:lang w:eastAsia="zh-CN"/>
        </w:rPr>
        <w:t>着力提升城镇品质。强化公共配套设施建设，全面提升城镇管理精细化，推动污水处理厂二期建设，坚决打好污染防治攻坚战。</w:t>
      </w:r>
    </w:p>
    <w:p>
      <w:pPr>
        <w:spacing w:line="574"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（三）深化改革强监管，切实提高财政管理水平</w:t>
      </w:r>
    </w:p>
    <w:p>
      <w:pPr>
        <w:spacing w:line="574" w:lineRule="exact"/>
        <w:ind w:firstLine="630"/>
        <w:rPr>
          <w:rFonts w:ascii="仿宋_GB2312" w:hAnsi="黑体"/>
          <w:sz w:val="32"/>
          <w:szCs w:val="32"/>
        </w:rPr>
      </w:pPr>
      <w:r>
        <w:rPr>
          <w:rFonts w:hint="eastAsia" w:ascii="仿宋_GB2312" w:hAnsi="黑体"/>
          <w:b/>
          <w:sz w:val="32"/>
          <w:szCs w:val="32"/>
        </w:rPr>
        <w:t>一是</w:t>
      </w:r>
      <w:r>
        <w:rPr>
          <w:rFonts w:hint="eastAsia" w:ascii="仿宋_GB2312" w:hAnsi="黑体"/>
          <w:sz w:val="32"/>
          <w:szCs w:val="32"/>
        </w:rPr>
        <w:t>继续强化预算执行管理能力。逐步建立以绩效为导向的预算管理制度，强化绩效目标管理，开展绩效评价及再评价试点，加强绩效评价结果应用，增强公共财政的整体效能。</w:t>
      </w:r>
      <w:r>
        <w:rPr>
          <w:rFonts w:hint="eastAsia" w:ascii="仿宋_GB2312" w:hAnsi="黑体"/>
          <w:b/>
          <w:sz w:val="32"/>
          <w:szCs w:val="32"/>
        </w:rPr>
        <w:t>二是</w:t>
      </w:r>
      <w:r>
        <w:rPr>
          <w:rFonts w:hint="eastAsia" w:ascii="仿宋_GB2312" w:hAnsi="黑体"/>
          <w:sz w:val="32"/>
          <w:szCs w:val="32"/>
        </w:rPr>
        <w:t>完善政府性债务管理制度。规范债务举借、使用、偿还行为，实行政府性债务规模控制和分类管理，完善政府债务风险预警办法，加大政府存量债务置换力度，加强风险防范和应对。</w:t>
      </w:r>
      <w:r>
        <w:rPr>
          <w:rFonts w:hint="eastAsia" w:ascii="仿宋_GB2312" w:hAnsi="黑体"/>
          <w:b/>
          <w:sz w:val="32"/>
          <w:szCs w:val="32"/>
        </w:rPr>
        <w:t>三是</w:t>
      </w:r>
      <w:r>
        <w:rPr>
          <w:rFonts w:hint="eastAsia" w:ascii="仿宋_GB2312" w:hAnsi="黑体"/>
          <w:sz w:val="32"/>
          <w:szCs w:val="32"/>
        </w:rPr>
        <w:t>加强财政机构职能优化。完善机构职责和人员配置，优化工作流程和内控机制，推进财政“放管服”改革，构建系统完备、科学规范、运行高效、具有财政特点的机构职能体系。</w:t>
      </w:r>
      <w:r>
        <w:rPr>
          <w:rFonts w:hint="eastAsia" w:ascii="仿宋_GB2312" w:hAnsi="黑体"/>
          <w:b/>
          <w:sz w:val="32"/>
          <w:szCs w:val="32"/>
        </w:rPr>
        <w:t>四是</w:t>
      </w:r>
      <w:r>
        <w:rPr>
          <w:rFonts w:hint="eastAsia" w:ascii="仿宋_GB2312" w:hAnsi="黑体"/>
          <w:sz w:val="32"/>
          <w:szCs w:val="32"/>
        </w:rPr>
        <w:t>稳步推进财政监管体系建设。以财政信息化建设为抓手，切实提升监管能力，建立健全财政资金分配使用全程留痕、责任可追溯的监管机制，加强预算执行管理和监督，不断提升财政管理效能和资金绩效。</w:t>
      </w:r>
    </w:p>
    <w:p>
      <w:pPr>
        <w:snapToGrid w:val="0"/>
        <w:spacing w:line="574" w:lineRule="exact"/>
        <w:ind w:firstLine="640" w:firstLineChars="200"/>
      </w:pPr>
      <w:r>
        <w:rPr>
          <w:rFonts w:ascii="Times New Roman" w:hAnsi="Times New Roman" w:cs="Times New Roman"/>
          <w:sz w:val="32"/>
          <w:szCs w:val="32"/>
        </w:rPr>
        <w:t>各位代表，</w:t>
      </w:r>
      <w:r>
        <w:rPr>
          <w:rFonts w:hint="eastAsia" w:ascii="仿宋_GB2312" w:hAnsi="仿宋_GB2312" w:cs="仿宋_GB2312"/>
          <w:sz w:val="32"/>
          <w:szCs w:val="32"/>
        </w:rPr>
        <w:t>做好</w:t>
      </w:r>
      <w:r>
        <w:rPr>
          <w:rFonts w:ascii="Times New Roman" w:hAnsi="Times New Roman" w:cs="Times New Roman"/>
          <w:sz w:val="32"/>
          <w:szCs w:val="32"/>
        </w:rPr>
        <w:t>2020</w:t>
      </w:r>
      <w:r>
        <w:rPr>
          <w:rFonts w:hint="eastAsia" w:ascii="仿宋_GB2312" w:hAnsi="仿宋_GB2312" w:cs="仿宋_GB2312"/>
          <w:sz w:val="32"/>
          <w:szCs w:val="32"/>
        </w:rPr>
        <w:t>年财政工作，任务艰巨、责任重大</w:t>
      </w:r>
      <w:r>
        <w:rPr>
          <w:rFonts w:ascii="Times New Roman" w:hAnsi="Times New Roman" w:cs="Times New Roman"/>
          <w:sz w:val="32"/>
          <w:szCs w:val="32"/>
        </w:rPr>
        <w:t>。我们将在镇党委、政府的坚强领导</w:t>
      </w:r>
      <w:r>
        <w:rPr>
          <w:rFonts w:hint="eastAsia" w:ascii="Times New Roman" w:hAnsi="Times New Roman" w:cs="Times New Roman"/>
          <w:sz w:val="32"/>
          <w:szCs w:val="32"/>
        </w:rPr>
        <w:t>，在</w:t>
      </w:r>
      <w:r>
        <w:rPr>
          <w:rFonts w:ascii="Times New Roman" w:hAnsi="Times New Roman" w:cs="Times New Roman"/>
          <w:sz w:val="32"/>
          <w:szCs w:val="32"/>
        </w:rPr>
        <w:t>镇人大的监督支持下，</w:t>
      </w:r>
      <w:r>
        <w:rPr>
          <w:rFonts w:hint="eastAsia"/>
          <w:sz w:val="32"/>
          <w:szCs w:val="32"/>
        </w:rPr>
        <w:t>以真抓实干的担当、奋勇争先的气魄、雷厉风行的干劲，坚定信心、砥砺前行，确保圆满完成全年财政各项预期目标，为中山重振虎威、加快横栏高质量崛起作出新的更大贡献</w:t>
      </w:r>
      <w:r>
        <w:rPr>
          <w:rFonts w:ascii="Times New Roman" w:hAnsi="Times New Roman" w:cs="Times New Roman"/>
          <w:sz w:val="32"/>
          <w:szCs w:val="32"/>
        </w:rPr>
        <w:t>！</w:t>
      </w:r>
    </w:p>
    <w:sectPr>
      <w:headerReference r:id="rId3" w:type="default"/>
      <w:footerReference r:id="rId5" w:type="default"/>
      <w:headerReference r:id="rId4" w:type="even"/>
      <w:footerReference r:id="rId6" w:type="even"/>
      <w:pgSz w:w="11907" w:h="16834"/>
      <w:pgMar w:top="1701" w:right="1531" w:bottom="1701" w:left="1531" w:header="851" w:footer="992"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icrosoftYa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200"/>
      <w:rPr>
        <w:sz w:val="24"/>
        <w:szCs w:val="24"/>
      </w:rPr>
    </w:pPr>
    <w:r>
      <w:rPr>
        <w:sz w:val="24"/>
      </w:rPr>
      <w:pict>
        <v:rect id="_x0000_s1026" o:spid="_x0000_s1026" o:spt="1" style="position:absolute;left:0pt;margin-left:383.95pt;margin-top:-1.95pt;height:28.7pt;width:75pt;mso-position-horizontal-relative:margin;z-index:251658240;mso-width-relative:page;mso-height-relative:page;" filled="f" stroked="f" coordsize="21600,21600" o:gfxdata="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eVjlb2gAAAAkBAAAPAAAAAAAAAAEAIAAAACIA&#10;AABkcnMvZG93bnJldi54bWxQSwECFAAUAAAACACHTuJAktvXIZUBAAAfAwAADgAAAAAAAAABACAA&#10;AAApAQAAZHJzL2Uyb0RvYy54bWxQSwUGAAAAAAYABgBZAQAAMAUAAAAA&#10;">
          <v:path/>
          <v:fill on="f" focussize="0,0"/>
          <v:stroke on="f"/>
          <v:imagedata o:title=""/>
          <o:lock v:ext="edit"/>
          <v:textbox inset="0mm,0mm,0mm,0mm">
            <w:txbxContent>
              <w:p>
                <w:pPr>
                  <w:pStyle w:val="3"/>
                  <w:ind w:right="360"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- 11 -</w:t>
                </w:r>
                <w:r>
                  <w:rPr>
                    <w:rFonts w:ascii="宋体" w:hAnsi="宋体" w:eastAsia="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531" w:y="-30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HorizontalSpacing w:val="150"/>
  <w:drawingGridVerticalSpacing w:val="20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0B295A"/>
    <w:rsid w:val="000137F6"/>
    <w:rsid w:val="00026F01"/>
    <w:rsid w:val="00031120"/>
    <w:rsid w:val="00037D0A"/>
    <w:rsid w:val="000415A2"/>
    <w:rsid w:val="00074373"/>
    <w:rsid w:val="000753C4"/>
    <w:rsid w:val="0009293D"/>
    <w:rsid w:val="00094537"/>
    <w:rsid w:val="000B6598"/>
    <w:rsid w:val="000B6A55"/>
    <w:rsid w:val="0011493B"/>
    <w:rsid w:val="00182B65"/>
    <w:rsid w:val="001914BD"/>
    <w:rsid w:val="001920A7"/>
    <w:rsid w:val="00193502"/>
    <w:rsid w:val="00202F23"/>
    <w:rsid w:val="0022417E"/>
    <w:rsid w:val="002249CB"/>
    <w:rsid w:val="002345BB"/>
    <w:rsid w:val="002A635F"/>
    <w:rsid w:val="002A7C20"/>
    <w:rsid w:val="002C4B15"/>
    <w:rsid w:val="002D1922"/>
    <w:rsid w:val="002E26E8"/>
    <w:rsid w:val="002E2798"/>
    <w:rsid w:val="002E5982"/>
    <w:rsid w:val="00315191"/>
    <w:rsid w:val="00324390"/>
    <w:rsid w:val="00354598"/>
    <w:rsid w:val="00385301"/>
    <w:rsid w:val="00393E74"/>
    <w:rsid w:val="003E7BBB"/>
    <w:rsid w:val="003F072B"/>
    <w:rsid w:val="003F1F02"/>
    <w:rsid w:val="00406CCD"/>
    <w:rsid w:val="00425204"/>
    <w:rsid w:val="00437BA6"/>
    <w:rsid w:val="004414A0"/>
    <w:rsid w:val="0045081F"/>
    <w:rsid w:val="00452CC3"/>
    <w:rsid w:val="004F6575"/>
    <w:rsid w:val="004F7447"/>
    <w:rsid w:val="005037BD"/>
    <w:rsid w:val="00505520"/>
    <w:rsid w:val="00536EEB"/>
    <w:rsid w:val="00556178"/>
    <w:rsid w:val="00562BCA"/>
    <w:rsid w:val="00570912"/>
    <w:rsid w:val="00572769"/>
    <w:rsid w:val="005749F5"/>
    <w:rsid w:val="00592054"/>
    <w:rsid w:val="005A3565"/>
    <w:rsid w:val="005D0769"/>
    <w:rsid w:val="005D6E7F"/>
    <w:rsid w:val="005E4607"/>
    <w:rsid w:val="005F743D"/>
    <w:rsid w:val="00643130"/>
    <w:rsid w:val="00643EA8"/>
    <w:rsid w:val="00647F10"/>
    <w:rsid w:val="00656992"/>
    <w:rsid w:val="00673871"/>
    <w:rsid w:val="00676366"/>
    <w:rsid w:val="006A6693"/>
    <w:rsid w:val="006B5DB3"/>
    <w:rsid w:val="006C1F0C"/>
    <w:rsid w:val="006D00AA"/>
    <w:rsid w:val="006F60F6"/>
    <w:rsid w:val="00727040"/>
    <w:rsid w:val="00727843"/>
    <w:rsid w:val="00733435"/>
    <w:rsid w:val="0074256D"/>
    <w:rsid w:val="00766E64"/>
    <w:rsid w:val="00770338"/>
    <w:rsid w:val="00777053"/>
    <w:rsid w:val="007B3611"/>
    <w:rsid w:val="007D0F35"/>
    <w:rsid w:val="00813EE7"/>
    <w:rsid w:val="0083321F"/>
    <w:rsid w:val="00837947"/>
    <w:rsid w:val="008414C5"/>
    <w:rsid w:val="008432BA"/>
    <w:rsid w:val="00881968"/>
    <w:rsid w:val="008B2E5C"/>
    <w:rsid w:val="008B533A"/>
    <w:rsid w:val="008C2E98"/>
    <w:rsid w:val="008C61A9"/>
    <w:rsid w:val="008C63BC"/>
    <w:rsid w:val="008E4A19"/>
    <w:rsid w:val="008E7B71"/>
    <w:rsid w:val="0093701E"/>
    <w:rsid w:val="00961A9C"/>
    <w:rsid w:val="009673C1"/>
    <w:rsid w:val="0097108F"/>
    <w:rsid w:val="00991A2D"/>
    <w:rsid w:val="0099729D"/>
    <w:rsid w:val="009C4816"/>
    <w:rsid w:val="009D23CD"/>
    <w:rsid w:val="009F426B"/>
    <w:rsid w:val="009F59B6"/>
    <w:rsid w:val="00A056E4"/>
    <w:rsid w:val="00A15702"/>
    <w:rsid w:val="00A20E8C"/>
    <w:rsid w:val="00A2190B"/>
    <w:rsid w:val="00A41C1A"/>
    <w:rsid w:val="00A54BA3"/>
    <w:rsid w:val="00A758CC"/>
    <w:rsid w:val="00A96532"/>
    <w:rsid w:val="00AC71BD"/>
    <w:rsid w:val="00AC7BEA"/>
    <w:rsid w:val="00AE2B78"/>
    <w:rsid w:val="00AF36C2"/>
    <w:rsid w:val="00B06015"/>
    <w:rsid w:val="00B06BC6"/>
    <w:rsid w:val="00B2294E"/>
    <w:rsid w:val="00B5439F"/>
    <w:rsid w:val="00B9115D"/>
    <w:rsid w:val="00BD4CB4"/>
    <w:rsid w:val="00BE1200"/>
    <w:rsid w:val="00C02E8A"/>
    <w:rsid w:val="00C0746C"/>
    <w:rsid w:val="00C51784"/>
    <w:rsid w:val="00C95D25"/>
    <w:rsid w:val="00CF123A"/>
    <w:rsid w:val="00D01933"/>
    <w:rsid w:val="00D1324D"/>
    <w:rsid w:val="00D25270"/>
    <w:rsid w:val="00D31F21"/>
    <w:rsid w:val="00D3622B"/>
    <w:rsid w:val="00D379F3"/>
    <w:rsid w:val="00D56621"/>
    <w:rsid w:val="00D64D4E"/>
    <w:rsid w:val="00D747A9"/>
    <w:rsid w:val="00D96975"/>
    <w:rsid w:val="00DC5BF7"/>
    <w:rsid w:val="00DF0D93"/>
    <w:rsid w:val="00DF7564"/>
    <w:rsid w:val="00E11590"/>
    <w:rsid w:val="00E20826"/>
    <w:rsid w:val="00E31468"/>
    <w:rsid w:val="00E66A51"/>
    <w:rsid w:val="00E81575"/>
    <w:rsid w:val="00E8226B"/>
    <w:rsid w:val="00EC4FC1"/>
    <w:rsid w:val="00F05149"/>
    <w:rsid w:val="00F201F9"/>
    <w:rsid w:val="00F42AD5"/>
    <w:rsid w:val="00F434AD"/>
    <w:rsid w:val="00F43791"/>
    <w:rsid w:val="00F840F2"/>
    <w:rsid w:val="00FB46DB"/>
    <w:rsid w:val="00FB5315"/>
    <w:rsid w:val="00FB6C13"/>
    <w:rsid w:val="00FC1EEB"/>
    <w:rsid w:val="00FC5C1F"/>
    <w:rsid w:val="00FC7A43"/>
    <w:rsid w:val="00FD0D16"/>
    <w:rsid w:val="00FF52C4"/>
    <w:rsid w:val="027545A0"/>
    <w:rsid w:val="02C54796"/>
    <w:rsid w:val="02D1644D"/>
    <w:rsid w:val="02D96BC2"/>
    <w:rsid w:val="03006202"/>
    <w:rsid w:val="03623A2D"/>
    <w:rsid w:val="046D2B7D"/>
    <w:rsid w:val="04FC0938"/>
    <w:rsid w:val="057770CE"/>
    <w:rsid w:val="061C11B9"/>
    <w:rsid w:val="08D17DEB"/>
    <w:rsid w:val="09986964"/>
    <w:rsid w:val="0B7A668F"/>
    <w:rsid w:val="0C0375F6"/>
    <w:rsid w:val="0C8307B7"/>
    <w:rsid w:val="0D661A8F"/>
    <w:rsid w:val="0DA44781"/>
    <w:rsid w:val="0DAF525C"/>
    <w:rsid w:val="0EAC2C11"/>
    <w:rsid w:val="10184032"/>
    <w:rsid w:val="145C0075"/>
    <w:rsid w:val="1524623C"/>
    <w:rsid w:val="15B65A4C"/>
    <w:rsid w:val="19A10937"/>
    <w:rsid w:val="1D607D33"/>
    <w:rsid w:val="1ED4589A"/>
    <w:rsid w:val="1F146160"/>
    <w:rsid w:val="1F402D7D"/>
    <w:rsid w:val="1FC83481"/>
    <w:rsid w:val="1FF27145"/>
    <w:rsid w:val="214637FB"/>
    <w:rsid w:val="21E1680E"/>
    <w:rsid w:val="22533710"/>
    <w:rsid w:val="23DC2113"/>
    <w:rsid w:val="27BE3AAC"/>
    <w:rsid w:val="27CA0E84"/>
    <w:rsid w:val="2BA52FB7"/>
    <w:rsid w:val="2BDA7BA3"/>
    <w:rsid w:val="2D9937B2"/>
    <w:rsid w:val="2DD47A24"/>
    <w:rsid w:val="2F0A1FC8"/>
    <w:rsid w:val="31F53C94"/>
    <w:rsid w:val="31FF4614"/>
    <w:rsid w:val="320B181D"/>
    <w:rsid w:val="33220E83"/>
    <w:rsid w:val="34C00524"/>
    <w:rsid w:val="378520FB"/>
    <w:rsid w:val="37895F27"/>
    <w:rsid w:val="37C20D60"/>
    <w:rsid w:val="38840EF7"/>
    <w:rsid w:val="39206E56"/>
    <w:rsid w:val="394C53EC"/>
    <w:rsid w:val="3A151FA1"/>
    <w:rsid w:val="3BD13342"/>
    <w:rsid w:val="3C6D28B5"/>
    <w:rsid w:val="3C81688F"/>
    <w:rsid w:val="3E890C34"/>
    <w:rsid w:val="3FB71952"/>
    <w:rsid w:val="4042681B"/>
    <w:rsid w:val="41860FB8"/>
    <w:rsid w:val="42D3651A"/>
    <w:rsid w:val="42ED490E"/>
    <w:rsid w:val="437D08CB"/>
    <w:rsid w:val="446D1A70"/>
    <w:rsid w:val="45F3356C"/>
    <w:rsid w:val="46CF2A75"/>
    <w:rsid w:val="477E378A"/>
    <w:rsid w:val="48E00EB4"/>
    <w:rsid w:val="4CF2116F"/>
    <w:rsid w:val="4E56677D"/>
    <w:rsid w:val="4EEF15D4"/>
    <w:rsid w:val="4EF50B96"/>
    <w:rsid w:val="4FED54EE"/>
    <w:rsid w:val="50493559"/>
    <w:rsid w:val="51AE00D9"/>
    <w:rsid w:val="52C362E9"/>
    <w:rsid w:val="5343518B"/>
    <w:rsid w:val="546F74BD"/>
    <w:rsid w:val="58053AE3"/>
    <w:rsid w:val="580D078D"/>
    <w:rsid w:val="58DE42D6"/>
    <w:rsid w:val="59E22AE2"/>
    <w:rsid w:val="5AF809E7"/>
    <w:rsid w:val="5B521342"/>
    <w:rsid w:val="5B8C4A4A"/>
    <w:rsid w:val="5D3F50D2"/>
    <w:rsid w:val="5D4619CC"/>
    <w:rsid w:val="5FF8528E"/>
    <w:rsid w:val="5FF946DF"/>
    <w:rsid w:val="603C7DDE"/>
    <w:rsid w:val="61643906"/>
    <w:rsid w:val="61AB2728"/>
    <w:rsid w:val="62435523"/>
    <w:rsid w:val="62E21DDE"/>
    <w:rsid w:val="63D464A0"/>
    <w:rsid w:val="63DF5457"/>
    <w:rsid w:val="66F77C8C"/>
    <w:rsid w:val="670A5588"/>
    <w:rsid w:val="69F23FB3"/>
    <w:rsid w:val="6A5E43C1"/>
    <w:rsid w:val="6A813AAF"/>
    <w:rsid w:val="6B3D1719"/>
    <w:rsid w:val="6CB172F3"/>
    <w:rsid w:val="6CC52450"/>
    <w:rsid w:val="6D05471E"/>
    <w:rsid w:val="6D5234A5"/>
    <w:rsid w:val="6D9A7CB0"/>
    <w:rsid w:val="6E503CBA"/>
    <w:rsid w:val="6E9C28FC"/>
    <w:rsid w:val="70510F80"/>
    <w:rsid w:val="72A35411"/>
    <w:rsid w:val="73233486"/>
    <w:rsid w:val="73246EA9"/>
    <w:rsid w:val="73A0186F"/>
    <w:rsid w:val="74D3139E"/>
    <w:rsid w:val="753A33DE"/>
    <w:rsid w:val="75636FCB"/>
    <w:rsid w:val="756F306A"/>
    <w:rsid w:val="761C71D4"/>
    <w:rsid w:val="76676AC0"/>
    <w:rsid w:val="76A97BCD"/>
    <w:rsid w:val="778F7603"/>
    <w:rsid w:val="78727FB2"/>
    <w:rsid w:val="7B824B6A"/>
    <w:rsid w:val="7C0B295A"/>
    <w:rsid w:val="7D136B46"/>
    <w:rsid w:val="7D53798A"/>
    <w:rsid w:val="7D5F6E07"/>
    <w:rsid w:val="7E341D58"/>
    <w:rsid w:val="7E6968C1"/>
    <w:rsid w:val="7F920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bCs/>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码1"/>
    <w:basedOn w:val="5"/>
    <w:qFormat/>
    <w:uiPriority w:val="0"/>
  </w:style>
  <w:style w:type="character" w:customStyle="1" w:styleId="8">
    <w:name w:val="fontstyle01"/>
    <w:basedOn w:val="5"/>
    <w:qFormat/>
    <w:uiPriority w:val="0"/>
    <w:rPr>
      <w:rFonts w:ascii="MicrosoftYaHei" w:hAnsi="MicrosoftYaHei" w:eastAsia="MicrosoftYaHei" w:cs="MicrosoftYaHei"/>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横栏镇政府</Company>
  <Pages>12</Pages>
  <Words>977</Words>
  <Characters>5569</Characters>
  <Lines>46</Lines>
  <Paragraphs>13</Paragraphs>
  <TotalTime>4</TotalTime>
  <ScaleCrop>false</ScaleCrop>
  <LinksUpToDate>false</LinksUpToDate>
  <CharactersWithSpaces>6533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2020-04-13T03:51:00Z</dcterms:created>
  <dc:creator>Administrator</dc:creator>
  <cp:lastModifiedBy>梁桂全</cp:lastModifiedBy>
  <dcterms:modified xsi:type="dcterms:W3CDTF">2024-09-18T07:55:16Z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