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336" w:lineRule="auto"/>
        <w:jc w:val="center"/>
        <w:textAlignment w:val="auto"/>
        <w:rPr>
          <w:rFonts w:hint="default" w:ascii="Times New Roman" w:hAnsi="Times New Roman" w:eastAsia="公文小标宋简" w:cs="Times New Roman"/>
          <w:sz w:val="44"/>
          <w:szCs w:val="44"/>
        </w:rPr>
      </w:pPr>
    </w:p>
    <w:p>
      <w:pPr>
        <w:keepNext w:val="0"/>
        <w:keepLines w:val="0"/>
        <w:pageBreakBefore w:val="0"/>
        <w:widowControl w:val="0"/>
        <w:kinsoku/>
        <w:wordWrap/>
        <w:overflowPunct/>
        <w:topLinePunct w:val="0"/>
        <w:bidi w:val="0"/>
        <w:adjustRightInd w:val="0"/>
        <w:snapToGrid w:val="0"/>
        <w:spacing w:line="336" w:lineRule="auto"/>
        <w:jc w:val="center"/>
        <w:textAlignment w:val="auto"/>
        <w:rPr>
          <w:rFonts w:hint="default" w:ascii="Times New Roman" w:hAnsi="Times New Roman" w:eastAsia="公文小标宋简" w:cs="Times New Roman"/>
          <w:sz w:val="44"/>
          <w:szCs w:val="44"/>
        </w:rPr>
      </w:pPr>
    </w:p>
    <w:p>
      <w:pPr>
        <w:keepNext w:val="0"/>
        <w:keepLines w:val="0"/>
        <w:pageBreakBefore w:val="0"/>
        <w:widowControl w:val="0"/>
        <w:numPr>
          <w:ilvl w:val="0"/>
          <w:numId w:val="0"/>
        </w:numPr>
        <w:kinsoku/>
        <w:wordWrap/>
        <w:overflowPunct/>
        <w:topLinePunct w:val="0"/>
        <w:bidi w:val="0"/>
        <w:adjustRightInd w:val="0"/>
        <w:snapToGrid w:val="0"/>
        <w:spacing w:line="336"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第三部分</w:t>
      </w:r>
      <w:r>
        <w:rPr>
          <w:rFonts w:hint="eastAsia" w:ascii="方正小标宋简体" w:hAnsi="方正小标宋简体" w:eastAsia="方正小标宋简体" w:cs="方正小标宋简体"/>
          <w:sz w:val="44"/>
          <w:szCs w:val="44"/>
        </w:rPr>
        <w:t xml:space="preserve"> 相关说明</w:t>
      </w:r>
    </w:p>
    <w:p>
      <w:pPr>
        <w:keepNext w:val="0"/>
        <w:keepLines w:val="0"/>
        <w:pageBreakBefore w:val="0"/>
        <w:widowControl w:val="0"/>
        <w:kinsoku/>
        <w:wordWrap/>
        <w:overflowPunct/>
        <w:topLinePunct w:val="0"/>
        <w:bidi w:val="0"/>
        <w:adjustRightInd w:val="0"/>
        <w:snapToGrid w:val="0"/>
        <w:spacing w:line="336" w:lineRule="auto"/>
        <w:ind w:firstLine="643" w:firstLineChars="200"/>
        <w:jc w:val="both"/>
        <w:textAlignment w:val="auto"/>
        <w:rPr>
          <w:rFonts w:hint="default" w:ascii="Times New Roman" w:hAnsi="Times New Roman" w:eastAsia="仿宋_GB2312" w:cs="Times New Roman"/>
          <w:b/>
          <w:kern w:val="0"/>
          <w:sz w:val="32"/>
          <w:szCs w:val="32"/>
          <w:lang w:bidi="ar"/>
        </w:rPr>
      </w:pP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kern w:val="0"/>
          <w:sz w:val="32"/>
          <w:szCs w:val="32"/>
          <w:lang w:bidi="ar"/>
        </w:rPr>
        <w:t>一</w:t>
      </w:r>
      <w:r>
        <w:rPr>
          <w:rFonts w:hint="eastAsia" w:ascii="黑体" w:hAnsi="黑体" w:eastAsia="黑体" w:cs="黑体"/>
          <w:b w:val="0"/>
          <w:bCs/>
          <w:kern w:val="0"/>
          <w:sz w:val="32"/>
          <w:szCs w:val="32"/>
          <w:lang w:eastAsia="zh-CN" w:bidi="ar"/>
        </w:rPr>
        <w:t>、</w:t>
      </w:r>
      <w:r>
        <w:rPr>
          <w:rFonts w:hint="eastAsia" w:ascii="黑体" w:hAnsi="黑体" w:eastAsia="黑体" w:cs="黑体"/>
          <w:b w:val="0"/>
          <w:bCs/>
          <w:sz w:val="32"/>
          <w:szCs w:val="32"/>
        </w:rPr>
        <w:t>一般公共预算支出</w:t>
      </w:r>
      <w:r>
        <w:rPr>
          <w:rFonts w:hint="eastAsia" w:ascii="黑体" w:hAnsi="黑体" w:eastAsia="黑体" w:cs="黑体"/>
          <w:b w:val="0"/>
          <w:bCs/>
          <w:sz w:val="32"/>
          <w:szCs w:val="32"/>
          <w:lang w:eastAsia="zh-CN"/>
        </w:rPr>
        <w:t>决算</w:t>
      </w:r>
      <w:r>
        <w:rPr>
          <w:rFonts w:hint="eastAsia" w:ascii="黑体" w:hAnsi="黑体" w:eastAsia="黑体" w:cs="黑体"/>
          <w:b w:val="0"/>
          <w:bCs/>
          <w:sz w:val="32"/>
          <w:szCs w:val="32"/>
        </w:rPr>
        <w:t>的说明</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1．一般公共服务支出28,959万元，完成预算96%，同比增加22,092万元，增长322%，主要是支持镇企发展增加注资；</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2．国防支出1万元；</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3．公共安全支出17,077万元，完成预算95%，同比增加176万元，基本持平；</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4．教育支出47,882万元，完成预算86%，同比增加1,925万元，增长4%；</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5．科学技术支出1,240万元，完成预算95%，同比增加11万元，基本持平；</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6．文化体育与传媒支出2,933万元，完成预算96%，同比增加2万元，基本持平；</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7．社会保障和就业支出10,787万元，完成预算104%，同比增加1,577万元，增长17%，主要是落实低收入群体生活保障；</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8．卫生健康支出9,375万元，完成预算82%，同比减少1,102万元，下降11%，主要是东区街道社区卫生服务中心医药购置专项转列至财政专户中支出；</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9．节能环保支出953万元，完成预算86%，同比减少557万元，下降37%，主要是部分治水工程项目反映至农林水科目列支；</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10．城乡社区支出11,033万元，完成预算106%，同比增加1,405万元，增长15%，主要是加大对“三清三拆”、加装电梯等城乡建设项目的投入力度；</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11．农林水支出3,130万元，完成预算104%，同比增加204万元，增长7%，主要是加大对“百千万工程”投入；</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12．自然资源海洋气象等支出33,986万元，完成预算113%，同比增加32,363万元，增长20倍，主要是用于岐江新城新建学校收储土地价款；</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13．住房保障支出604万元，完成预算163%，同比增加354万元，增长142%，主要是市下拨中央财政城镇保障性安居工程补助资金用于老旧小区建设；</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14．粮油物资储备支出260万元，完成预算100%；</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15．灾害防止及应急管理支出1,255万元，完成预算88%，同比增加124万元，增长11%，主要是加大对地质灾害整治工程的投入。</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kern w:val="0"/>
          <w:sz w:val="32"/>
          <w:szCs w:val="32"/>
          <w:lang w:bidi="ar"/>
        </w:rPr>
      </w:pPr>
      <w:r>
        <w:rPr>
          <w:rFonts w:hint="eastAsia" w:ascii="黑体" w:hAnsi="黑体" w:eastAsia="黑体" w:cs="黑体"/>
          <w:b w:val="0"/>
          <w:bCs/>
          <w:kern w:val="0"/>
          <w:sz w:val="32"/>
          <w:szCs w:val="32"/>
          <w:lang w:bidi="ar"/>
        </w:rPr>
        <w:t>二</w:t>
      </w:r>
      <w:r>
        <w:rPr>
          <w:rFonts w:hint="eastAsia" w:ascii="黑体" w:hAnsi="黑体" w:eastAsia="黑体" w:cs="黑体"/>
          <w:b w:val="0"/>
          <w:bCs/>
          <w:kern w:val="0"/>
          <w:sz w:val="32"/>
          <w:szCs w:val="32"/>
          <w:lang w:eastAsia="zh-CN" w:bidi="ar"/>
        </w:rPr>
        <w:t>、</w:t>
      </w:r>
      <w:r>
        <w:rPr>
          <w:rFonts w:hint="eastAsia" w:ascii="黑体" w:hAnsi="黑体" w:eastAsia="黑体" w:cs="黑体"/>
          <w:b w:val="0"/>
          <w:bCs/>
          <w:kern w:val="0"/>
          <w:sz w:val="32"/>
          <w:szCs w:val="32"/>
          <w:lang w:bidi="ar"/>
        </w:rPr>
        <w:t>举借债务情况</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b w:val="0"/>
          <w:bCs/>
          <w:kern w:val="0"/>
          <w:sz w:val="32"/>
          <w:szCs w:val="32"/>
          <w:lang w:bidi="ar"/>
        </w:rPr>
      </w:pPr>
      <w:r>
        <w:rPr>
          <w:rFonts w:hint="default" w:ascii="Times New Roman" w:hAnsi="Times New Roman" w:eastAsia="仿宋_GB2312" w:cs="Times New Roman"/>
          <w:b w:val="0"/>
          <w:bCs/>
          <w:kern w:val="0"/>
          <w:sz w:val="32"/>
          <w:szCs w:val="32"/>
          <w:lang w:bidi="ar"/>
        </w:rPr>
        <w:t xml:space="preserve">2023年我街道新增债券额度7,709万元，累计债券额度7,709万元，全部为地方政府专项债券。当年新增专项债具体安排用于东区街道东裕社区和夏洋社区小区排水管网改造工程项目1,709万元；九亩湾伞墩河排洪渠改道工程2,000万元；东区街道桃苑社区、起湾社区、齐富湾社区排水管网改造项目、东区街道竹苑社区、花苑社区、新鳌岭社区排水管网改造、东区街道水污染源头治理（一期）、东区街道水污染源头治理（二期）共4,000万元。全年累计支出7,305万元，执行进度为95%。 </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kern w:val="0"/>
          <w:sz w:val="32"/>
          <w:szCs w:val="32"/>
          <w:lang w:bidi="ar"/>
        </w:rPr>
      </w:pPr>
      <w:r>
        <w:rPr>
          <w:rFonts w:hint="eastAsia" w:ascii="黑体" w:hAnsi="黑体" w:eastAsia="黑体" w:cs="黑体"/>
          <w:b w:val="0"/>
          <w:bCs/>
          <w:kern w:val="0"/>
          <w:sz w:val="32"/>
          <w:szCs w:val="32"/>
          <w:lang w:bidi="ar"/>
        </w:rPr>
        <w:t>三</w:t>
      </w:r>
      <w:r>
        <w:rPr>
          <w:rFonts w:hint="eastAsia" w:ascii="黑体" w:hAnsi="黑体" w:eastAsia="黑体" w:cs="黑体"/>
          <w:b w:val="0"/>
          <w:bCs/>
          <w:kern w:val="0"/>
          <w:sz w:val="32"/>
          <w:szCs w:val="32"/>
          <w:lang w:eastAsia="zh-CN" w:bidi="ar"/>
        </w:rPr>
        <w:t>、</w:t>
      </w:r>
      <w:r>
        <w:rPr>
          <w:rFonts w:hint="eastAsia" w:ascii="黑体" w:hAnsi="黑体" w:eastAsia="黑体" w:cs="黑体"/>
          <w:b w:val="0"/>
          <w:bCs/>
          <w:kern w:val="0"/>
          <w:sz w:val="32"/>
          <w:szCs w:val="32"/>
          <w:lang w:bidi="ar"/>
        </w:rPr>
        <w:t>一般公共预算“三公”经费</w:t>
      </w:r>
      <w:r>
        <w:rPr>
          <w:rFonts w:hint="eastAsia" w:ascii="黑体" w:hAnsi="黑体" w:eastAsia="黑体" w:cs="黑体"/>
          <w:b w:val="0"/>
          <w:bCs/>
          <w:kern w:val="0"/>
          <w:sz w:val="32"/>
          <w:szCs w:val="32"/>
          <w:lang w:eastAsia="zh-CN" w:bidi="ar"/>
        </w:rPr>
        <w:t>决算执行</w:t>
      </w:r>
      <w:r>
        <w:rPr>
          <w:rFonts w:hint="eastAsia" w:ascii="黑体" w:hAnsi="黑体" w:eastAsia="黑体" w:cs="黑体"/>
          <w:b w:val="0"/>
          <w:bCs/>
          <w:kern w:val="0"/>
          <w:sz w:val="32"/>
          <w:szCs w:val="32"/>
          <w:lang w:bidi="ar"/>
        </w:rPr>
        <w:t>情况</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汇总全街道各预算单位“三公”经费财政拨款总额333.8万元，同比增加169.55万元，增幅103.2%，其中因公出国（境）费用8.89万元，同比增加7.71万元，增幅653.4%；公务接待费22.43万元，同比增加15.65万元，增幅230.8%；公务用车费302.48万元，同比增加146.19万元，增长93.5%（包括：公务用车运行维护费108.67万元和公务用车购置费193.81万元）。增幅较大的原因主要是部分公务车达到强制报废年限，需进行报废后，重新购置公务车；另外，随着疫情放开，公务走访和招商工作陆续有序恢复，相应费用有所增加。我街道将继续压实“三公”经费支出，坚持严格执行“三公”经费、差旅、会议、培训等公务支出经费管理办法，坚持围绕建设节约型政府，督促各预算单位准确把握本部门的“三公”经费情况，及时按要求对预决算情况进行公开，积极接受市人大的依法监督，进一步完善厉行节约长效机制。</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kern w:val="0"/>
          <w:sz w:val="32"/>
          <w:szCs w:val="32"/>
          <w:lang w:bidi="ar"/>
        </w:rPr>
      </w:pPr>
      <w:r>
        <w:rPr>
          <w:rFonts w:hint="eastAsia" w:ascii="黑体" w:hAnsi="黑体" w:eastAsia="黑体" w:cs="黑体"/>
          <w:b w:val="0"/>
          <w:bCs/>
          <w:kern w:val="0"/>
          <w:sz w:val="32"/>
          <w:szCs w:val="32"/>
          <w:lang w:bidi="ar"/>
        </w:rPr>
        <w:t>四</w:t>
      </w:r>
      <w:r>
        <w:rPr>
          <w:rFonts w:hint="eastAsia" w:ascii="黑体" w:hAnsi="黑体" w:eastAsia="黑体" w:cs="黑体"/>
          <w:b w:val="0"/>
          <w:bCs/>
          <w:kern w:val="0"/>
          <w:sz w:val="32"/>
          <w:szCs w:val="32"/>
          <w:lang w:eastAsia="zh-CN" w:bidi="ar"/>
        </w:rPr>
        <w:t>、</w:t>
      </w:r>
      <w:r>
        <w:rPr>
          <w:rFonts w:hint="eastAsia" w:ascii="黑体" w:hAnsi="黑体" w:eastAsia="黑体" w:cs="黑体"/>
          <w:b w:val="0"/>
          <w:bCs/>
          <w:kern w:val="0"/>
          <w:sz w:val="32"/>
          <w:szCs w:val="32"/>
          <w:lang w:bidi="ar"/>
        </w:rPr>
        <w:t>预算绩效工作推进情况</w:t>
      </w:r>
    </w:p>
    <w:p>
      <w:pPr>
        <w:keepNext w:val="0"/>
        <w:keepLines w:val="0"/>
        <w:pageBreakBefore w:val="0"/>
        <w:widowControl w:val="0"/>
        <w:kinsoku/>
        <w:wordWrap/>
        <w:topLinePunct w:val="0"/>
        <w:autoSpaceDN/>
        <w:bidi w:val="0"/>
        <w:adjustRightInd/>
        <w:snapToGrid/>
        <w:spacing w:line="560" w:lineRule="exact"/>
        <w:ind w:firstLine="632" w:firstLineChars="200"/>
        <w:textAlignment w:val="auto"/>
        <w:outlineLvl w:val="9"/>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spacing w:val="-2"/>
          <w:kern w:val="0"/>
          <w:sz w:val="32"/>
          <w:szCs w:val="32"/>
        </w:rPr>
        <w:t>为切实提高资金使用效益，东区街道全力推进预算绩效管理工作。一是实现自评全覆盖管理，对各预算单位2022年度专项开展绩效自评工作，并选取了部分专项开展绩效核查和重点评价工作，核查结果将作为新一年度编制预算的重要依据。二是实现绩效目标动态监控，选取了12个项目开展绩效目标事中重点监控工作和对各预算单位开展绩效运行监控，并定期对绩效目标完成情况进行通报。三是进一步明确和压实预算单位绩效管理主体责任，选取了街道妇联作为试点进行部门整体绩效评价，选取了产业扶持政策进行政策绩效评价，将预算绩效管理向纵向深推进，切实推进实施全面预算绩效管理工作。</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36" w:lineRule="auto"/>
        <w:ind w:right="0" w:firstLine="420" w:firstLineChars="200"/>
        <w:jc w:val="left"/>
        <w:textAlignment w:val="auto"/>
        <w:outlineLvl w:val="9"/>
        <w:rPr>
          <w:rFonts w:hint="default" w:ascii="Times New Roman" w:hAnsi="Times New Roman" w:cs="Times New Roma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47264"/>
    <w:rsid w:val="0491658C"/>
    <w:rsid w:val="05593B54"/>
    <w:rsid w:val="1E771E56"/>
    <w:rsid w:val="20075162"/>
    <w:rsid w:val="214A4A1D"/>
    <w:rsid w:val="259B6A23"/>
    <w:rsid w:val="2BE47264"/>
    <w:rsid w:val="539362D7"/>
    <w:rsid w:val="540049E6"/>
    <w:rsid w:val="693A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left"/>
      <w:outlineLvl w:val="1"/>
    </w:pPr>
    <w:rPr>
      <w:rFonts w:ascii="Arial" w:hAnsi="Arial" w:eastAsia="黑体"/>
      <w:b/>
      <w:bCs/>
      <w:kern w:val="0"/>
      <w:szCs w:val="32"/>
    </w:rPr>
  </w:style>
  <w:style w:type="paragraph" w:styleId="2">
    <w:name w:val="heading 4"/>
    <w:basedOn w:val="1"/>
    <w:next w:val="1"/>
    <w:qFormat/>
    <w:uiPriority w:val="9"/>
    <w:pPr>
      <w:keepNext/>
      <w:jc w:val="center"/>
      <w:outlineLvl w:val="3"/>
    </w:pPr>
    <w:rPr>
      <w:rFonts w:eastAsia="公文小标宋简"/>
      <w:b/>
      <w:sz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styleId="5">
    <w:name w:val="toc 5"/>
    <w:basedOn w:val="1"/>
    <w:next w:val="1"/>
    <w:qFormat/>
    <w:uiPriority w:val="0"/>
    <w:pPr>
      <w:ind w:left="1680"/>
    </w:pPr>
    <w:rPr>
      <w:rFonts w:ascii="Times New Roman" w:hAnsi="Times New Roman" w:eastAsia="宋体" w:cs="Times New Roman"/>
    </w:rPr>
  </w:style>
  <w:style w:type="paragraph" w:styleId="6">
    <w:name w:val="Body Text Indent 2"/>
    <w:basedOn w:val="1"/>
    <w:next w:val="4"/>
    <w:unhideWhenUsed/>
    <w:qFormat/>
    <w:uiPriority w:val="0"/>
    <w:pPr>
      <w:spacing w:beforeLines="0" w:after="120" w:afterLines="0" w:line="480" w:lineRule="auto"/>
      <w:ind w:left="420" w:leftChars="200"/>
    </w:pPr>
    <w:rPr>
      <w:rFonts w:hint="default" w:ascii="Times New Roman" w:eastAsia="宋体"/>
      <w:kern w:val="2"/>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表段落"/>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2019-02-01T10:00:00Z</dcterms:created>
  <dc:creator>llh</dc:creator>
  <cp:lastModifiedBy>Administrator</cp:lastModifiedBy>
  <dcterms:modified xsi:type="dcterms:W3CDTF">2024-09-11T03:59:33Z</dcterms:modified>
  <dc:title>第三部分  相关说明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