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right="0" w:rightChars="0" w:firstLine="856" w:firstLineChars="200"/>
        <w:jc w:val="center"/>
        <w:textAlignment w:val="auto"/>
        <w:rPr>
          <w:rFonts w:hint="eastAsia" w:eastAsia="方正小标宋简体"/>
          <w:color w:val="000000"/>
          <w:spacing w:val="-6"/>
          <w:kern w:val="0"/>
          <w:sz w:val="44"/>
          <w:szCs w:val="44"/>
          <w:lang w:eastAsia="zh-CN"/>
        </w:rPr>
      </w:pPr>
      <w:r>
        <w:rPr>
          <w:rFonts w:hint="eastAsia" w:eastAsia="方正小标宋简体"/>
          <w:color w:val="000000"/>
          <w:spacing w:val="-6"/>
          <w:kern w:val="0"/>
          <w:sz w:val="44"/>
          <w:szCs w:val="44"/>
          <w:lang w:eastAsia="zh-CN"/>
        </w:rPr>
        <w:t>中山市</w:t>
      </w:r>
      <w:r>
        <w:rPr>
          <w:rFonts w:hint="eastAsia" w:eastAsia="方正小标宋简体"/>
          <w:color w:val="000000"/>
          <w:spacing w:val="-6"/>
          <w:kern w:val="0"/>
          <w:sz w:val="44"/>
          <w:szCs w:val="44"/>
        </w:rPr>
        <w:t>板芙镇</w:t>
      </w:r>
      <w:r>
        <w:rPr>
          <w:rFonts w:hint="eastAsia" w:eastAsia="方正小标宋简体"/>
          <w:color w:val="000000"/>
          <w:spacing w:val="-6"/>
          <w:kern w:val="0"/>
          <w:sz w:val="44"/>
          <w:szCs w:val="44"/>
          <w:lang w:val="en-US" w:eastAsia="zh-CN"/>
        </w:rPr>
        <w:t>刘广雄</w:t>
      </w:r>
      <w:r>
        <w:rPr>
          <w:rFonts w:hint="eastAsia" w:eastAsia="方正小标宋简体"/>
          <w:color w:val="000000"/>
          <w:spacing w:val="-6"/>
          <w:kern w:val="0"/>
          <w:sz w:val="44"/>
          <w:szCs w:val="44"/>
        </w:rPr>
        <w:t>“工改工</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rPr>
        <w:t>宗地</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lang w:val="en-US" w:eastAsia="zh-CN"/>
        </w:rPr>
        <w:t>三旧</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rPr>
        <w:t>改造项目</w:t>
      </w:r>
      <w:r>
        <w:rPr>
          <w:rFonts w:hint="eastAsia" w:eastAsia="方正小标宋简体"/>
          <w:color w:val="000000"/>
          <w:spacing w:val="-6"/>
          <w:kern w:val="0"/>
          <w:sz w:val="44"/>
          <w:szCs w:val="44"/>
          <w:lang w:val="en-US" w:eastAsia="zh-CN"/>
        </w:rPr>
        <w:t>改造</w:t>
      </w:r>
      <w:r>
        <w:rPr>
          <w:rFonts w:hint="eastAsia" w:eastAsia="方正小标宋简体"/>
          <w:color w:val="000000"/>
          <w:spacing w:val="-6"/>
          <w:kern w:val="0"/>
          <w:sz w:val="44"/>
          <w:szCs w:val="44"/>
        </w:rPr>
        <w:t>方案</w:t>
      </w:r>
    </w:p>
    <w:p>
      <w:pPr>
        <w:pStyle w:val="9"/>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right="0" w:rightChars="0" w:firstLine="856" w:firstLineChars="200"/>
        <w:jc w:val="both"/>
        <w:textAlignment w:val="auto"/>
        <w:rPr>
          <w:rFonts w:hint="eastAsia" w:eastAsia="方正小标宋简体"/>
          <w:color w:val="000000"/>
          <w:spacing w:val="-6"/>
          <w:kern w:val="0"/>
          <w:sz w:val="44"/>
          <w:szCs w:val="44"/>
        </w:rPr>
      </w:pPr>
    </w:p>
    <w:p>
      <w:pPr>
        <w:keepNext w:val="0"/>
        <w:keepLines w:val="0"/>
        <w:pageBreakBefore w:val="0"/>
        <w:widowControl/>
        <w:kinsoku/>
        <w:wordWrap/>
        <w:overflowPunct/>
        <w:topLinePunct w:val="0"/>
        <w:autoSpaceDE/>
        <w:autoSpaceDN/>
        <w:bidi w:val="0"/>
        <w:adjustRightInd/>
        <w:snapToGrid/>
        <w:spacing w:line="574" w:lineRule="exact"/>
        <w:ind w:firstLine="616" w:firstLineChars="200"/>
        <w:jc w:val="both"/>
        <w:textAlignment w:val="auto"/>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kern w:val="2"/>
          <w:sz w:val="32"/>
          <w:szCs w:val="22"/>
          <w:highlight w:val="none"/>
        </w:rPr>
        <w:t>根据中山市城市更新（“三旧”改造）专项规划</w:t>
      </w:r>
      <w:r>
        <w:rPr>
          <w:rFonts w:hint="eastAsia" w:ascii="仿宋_GB2312" w:hAnsi="仿宋_GB2312" w:eastAsia="仿宋_GB2312" w:cs="仿宋_GB2312"/>
          <w:color w:val="auto"/>
          <w:spacing w:val="-6"/>
          <w:kern w:val="2"/>
          <w:sz w:val="32"/>
          <w:szCs w:val="22"/>
          <w:highlight w:val="none"/>
          <w:lang w:val="en-US" w:eastAsia="zh-CN"/>
        </w:rPr>
        <w:t>和经批复规划条件论证</w:t>
      </w:r>
      <w:r>
        <w:rPr>
          <w:rFonts w:hint="eastAsia" w:ascii="仿宋_GB2312" w:hAnsi="仿宋_GB2312" w:eastAsia="仿宋_GB2312" w:cs="仿宋_GB2312"/>
          <w:color w:val="auto"/>
          <w:spacing w:val="-6"/>
          <w:kern w:val="2"/>
          <w:sz w:val="32"/>
          <w:szCs w:val="22"/>
          <w:highlight w:val="none"/>
          <w:lang w:eastAsia="zh-CN"/>
        </w:rPr>
        <w:t>，</w:t>
      </w:r>
      <w:r>
        <w:rPr>
          <w:rFonts w:hint="eastAsia" w:ascii="仿宋_GB2312" w:hAnsi="仿宋_GB2312" w:eastAsia="仿宋_GB2312" w:cs="仿宋_GB2312"/>
          <w:color w:val="auto"/>
          <w:spacing w:val="-6"/>
          <w:kern w:val="2"/>
          <w:sz w:val="32"/>
          <w:szCs w:val="22"/>
          <w:highlight w:val="none"/>
          <w:lang w:val="en-US" w:eastAsia="zh-CN"/>
        </w:rPr>
        <w:t>板芙镇人民政府拟对位于</w:t>
      </w:r>
      <w:r>
        <w:rPr>
          <w:rFonts w:hint="eastAsia" w:ascii="仿宋_GB2312" w:hAnsi="仿宋_GB2312" w:eastAsia="仿宋_GB2312" w:cs="仿宋_GB2312"/>
          <w:color w:val="auto"/>
          <w:spacing w:val="-6"/>
          <w:sz w:val="32"/>
          <w:szCs w:val="22"/>
          <w:highlight w:val="none"/>
          <w:lang w:val="en-US" w:eastAsia="zh-CN"/>
        </w:rPr>
        <w:t>中山市板芙镇深湾村的</w:t>
      </w:r>
      <w:r>
        <w:rPr>
          <w:rFonts w:hint="eastAsia" w:ascii="仿宋_GB2312" w:hAnsi="仿宋_GB2312" w:eastAsia="仿宋_GB2312" w:cs="仿宋_GB2312"/>
          <w:color w:val="auto"/>
          <w:spacing w:val="-6"/>
          <w:kern w:val="2"/>
          <w:sz w:val="32"/>
          <w:szCs w:val="22"/>
          <w:highlight w:val="none"/>
          <w:lang w:val="en-US" w:eastAsia="zh-CN"/>
        </w:rPr>
        <w:t>刘广雄和板芙镇人民政府的旧厂房</w:t>
      </w:r>
      <w:r>
        <w:rPr>
          <w:rFonts w:hint="eastAsia" w:ascii="仿宋_GB2312" w:hAnsi="仿宋_GB2312" w:eastAsia="仿宋_GB2312" w:cs="仿宋_GB2312"/>
          <w:color w:val="auto"/>
          <w:spacing w:val="-6"/>
          <w:sz w:val="32"/>
          <w:szCs w:val="22"/>
          <w:highlight w:val="none"/>
          <w:lang w:val="en-US" w:eastAsia="zh-CN"/>
        </w:rPr>
        <w:t>用地进行改造，</w:t>
      </w:r>
      <w:r>
        <w:rPr>
          <w:rFonts w:hint="eastAsia" w:ascii="仿宋_GB2312" w:hAnsi="仿宋_GB2312" w:eastAsia="仿宋_GB2312" w:cs="仿宋_GB2312"/>
          <w:color w:val="auto"/>
          <w:spacing w:val="-6"/>
          <w:sz w:val="32"/>
          <w:szCs w:val="22"/>
          <w:highlight w:val="none"/>
          <w:lang w:eastAsia="zh-CN"/>
        </w:rPr>
        <w:t>由土地权利人将该用地</w:t>
      </w:r>
      <w:r>
        <w:rPr>
          <w:rFonts w:hint="eastAsia" w:ascii="仿宋_GB2312" w:hAnsi="仿宋_GB2312" w:eastAsia="仿宋_GB2312" w:cs="仿宋_GB2312"/>
          <w:color w:val="auto"/>
          <w:spacing w:val="-6"/>
          <w:sz w:val="32"/>
          <w:szCs w:val="22"/>
          <w:highlight w:val="none"/>
          <w:lang w:eastAsia="zh-CN"/>
        </w:rPr>
        <w:t>转让</w:t>
      </w:r>
      <w:r>
        <w:rPr>
          <w:rFonts w:hint="eastAsia" w:ascii="仿宋_GB2312" w:hAnsi="仿宋_GB2312" w:eastAsia="仿宋_GB2312" w:cs="仿宋_GB2312"/>
          <w:color w:val="auto"/>
          <w:spacing w:val="-6"/>
          <w:sz w:val="32"/>
          <w:szCs w:val="22"/>
          <w:highlight w:val="none"/>
          <w:lang w:eastAsia="zh-CN"/>
        </w:rPr>
        <w:t>给</w:t>
      </w:r>
      <w:r>
        <w:rPr>
          <w:rFonts w:hint="eastAsia" w:ascii="仿宋_GB2312" w:hAnsi="仿宋_GB2312" w:eastAsia="仿宋_GB2312" w:cs="仿宋_GB2312"/>
          <w:color w:val="auto"/>
          <w:spacing w:val="-6"/>
          <w:kern w:val="2"/>
          <w:sz w:val="32"/>
          <w:szCs w:val="22"/>
          <w:highlight w:val="none"/>
          <w:lang w:val="en-US" w:eastAsia="zh-CN" w:bidi="ar-SA"/>
        </w:rPr>
        <w:t>中山市泓正环保科技有限公司</w:t>
      </w:r>
      <w:r>
        <w:rPr>
          <w:rFonts w:hint="eastAsia" w:ascii="仿宋_GB2312" w:hAnsi="仿宋_GB2312" w:eastAsia="仿宋_GB2312" w:cs="仿宋_GB2312"/>
          <w:color w:val="auto"/>
          <w:spacing w:val="-6"/>
          <w:sz w:val="32"/>
          <w:szCs w:val="22"/>
          <w:highlight w:val="none"/>
          <w:lang w:eastAsia="zh-CN"/>
        </w:rPr>
        <w:t>，</w:t>
      </w:r>
      <w:r>
        <w:rPr>
          <w:rFonts w:hint="eastAsia" w:ascii="仿宋_GB2312" w:hAnsi="仿宋_GB2312" w:eastAsia="仿宋_GB2312" w:cs="仿宋_GB2312"/>
          <w:spacing w:val="-6"/>
          <w:kern w:val="0"/>
          <w:sz w:val="32"/>
          <w:szCs w:val="32"/>
        </w:rPr>
        <w:t>由</w:t>
      </w:r>
      <w:r>
        <w:rPr>
          <w:rFonts w:hint="eastAsia" w:ascii="仿宋_GB2312" w:hAnsi="仿宋_GB2312" w:eastAsia="仿宋_GB2312" w:cs="仿宋_GB2312"/>
          <w:color w:val="auto"/>
          <w:spacing w:val="-6"/>
          <w:kern w:val="2"/>
          <w:sz w:val="32"/>
          <w:szCs w:val="22"/>
          <w:highlight w:val="none"/>
          <w:lang w:val="en-US" w:eastAsia="zh-CN" w:bidi="ar-SA"/>
        </w:rPr>
        <w:t>中山市泓正环保科技有限公司</w:t>
      </w:r>
      <w:r>
        <w:rPr>
          <w:rFonts w:hint="eastAsia" w:ascii="仿宋_GB2312" w:hAnsi="仿宋_GB2312" w:eastAsia="仿宋_GB2312" w:cs="仿宋_GB2312"/>
          <w:spacing w:val="-6"/>
          <w:kern w:val="0"/>
          <w:sz w:val="32"/>
          <w:szCs w:val="32"/>
        </w:rPr>
        <w:t>作为改造主体实施</w:t>
      </w:r>
      <w:r>
        <w:rPr>
          <w:rFonts w:hint="eastAsia" w:ascii="仿宋_GB2312" w:hAnsi="仿宋_GB2312" w:eastAsia="仿宋_GB2312" w:cs="仿宋_GB2312"/>
          <w:spacing w:val="-6"/>
          <w:kern w:val="0"/>
          <w:sz w:val="32"/>
          <w:szCs w:val="32"/>
          <w:lang w:val="en-US" w:eastAsia="zh-CN"/>
        </w:rPr>
        <w:t>局部</w:t>
      </w:r>
      <w:r>
        <w:rPr>
          <w:rFonts w:hint="eastAsia" w:ascii="仿宋_GB2312" w:hAnsi="仿宋_GB2312" w:eastAsia="仿宋_GB2312" w:cs="仿宋_GB2312"/>
          <w:spacing w:val="-6"/>
          <w:kern w:val="0"/>
          <w:sz w:val="32"/>
          <w:szCs w:val="32"/>
        </w:rPr>
        <w:t>改造</w:t>
      </w:r>
      <w:r>
        <w:rPr>
          <w:rFonts w:hint="eastAsia" w:ascii="仿宋_GB2312" w:hAnsi="仿宋_GB2312" w:eastAsia="仿宋_GB2312" w:cs="仿宋_GB2312"/>
          <w:color w:val="auto"/>
          <w:spacing w:val="-6"/>
          <w:sz w:val="32"/>
          <w:szCs w:val="22"/>
          <w:highlight w:val="none"/>
          <w:lang w:eastAsia="zh-CN"/>
        </w:rPr>
        <w:t>。</w:t>
      </w:r>
      <w:r>
        <w:rPr>
          <w:rFonts w:hint="eastAsia" w:ascii="仿宋_GB2312" w:hAnsi="仿宋_GB2312" w:eastAsia="仿宋_GB2312" w:cs="仿宋_GB2312"/>
          <w:color w:val="auto"/>
          <w:spacing w:val="-6"/>
          <w:sz w:val="32"/>
          <w:szCs w:val="22"/>
          <w:highlight w:val="none"/>
          <w:lang w:val="en-US" w:eastAsia="zh-CN"/>
        </w:rPr>
        <w:t>改造方案如下：</w:t>
      </w:r>
    </w:p>
    <w:p>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leftChars="0" w:right="0" w:rightChars="0" w:firstLine="616" w:firstLineChars="200"/>
        <w:jc w:val="both"/>
        <w:outlineLvl w:val="0"/>
        <w:rPr>
          <w:rStyle w:val="11"/>
          <w:rFonts w:eastAsia="黑体"/>
          <w:spacing w:val="-6"/>
          <w:kern w:val="28"/>
          <w:sz w:val="32"/>
          <w:szCs w:val="32"/>
        </w:rPr>
      </w:pPr>
      <w:r>
        <w:rPr>
          <w:rStyle w:val="11"/>
          <w:rFonts w:eastAsia="黑体" w:asciiTheme="minorHAnsi" w:hAnsiTheme="minorHAnsi" w:cstheme="minorBidi"/>
          <w:spacing w:val="-6"/>
          <w:kern w:val="28"/>
          <w:sz w:val="32"/>
          <w:szCs w:val="32"/>
        </w:rPr>
        <w:t>改造地块基本情况</w:t>
      </w:r>
    </w:p>
    <w:p>
      <w:pPr>
        <w:keepNext w:val="0"/>
        <w:keepLines w:val="0"/>
        <w:pageBreakBefore w:val="0"/>
        <w:numPr>
          <w:ilvl w:val="0"/>
          <w:numId w:val="2"/>
        </w:numPr>
        <w:kinsoku/>
        <w:wordWrap/>
        <w:overflowPunct/>
        <w:topLinePunct w:val="0"/>
        <w:autoSpaceDE/>
        <w:autoSpaceDN/>
        <w:bidi w:val="0"/>
        <w:adjustRightInd w:val="0"/>
        <w:snapToGrid w:val="0"/>
        <w:spacing w:beforeLines="0" w:afterLines="0" w:line="574" w:lineRule="exact"/>
        <w:ind w:left="0" w:right="0" w:rightChars="0" w:firstLine="616" w:firstLineChars="200"/>
        <w:jc w:val="both"/>
        <w:rPr>
          <w:rFonts w:hint="eastAsia" w:ascii="楷体_GB2312" w:eastAsia="楷体_GB2312" w:cs="Times New Roman"/>
          <w:spacing w:val="-6"/>
          <w:sz w:val="32"/>
          <w:szCs w:val="32"/>
        </w:rPr>
      </w:pPr>
      <w:r>
        <w:rPr>
          <w:rFonts w:hint="eastAsia" w:ascii="楷体_GB2312" w:eastAsia="楷体_GB2312" w:cs="Times New Roman"/>
          <w:spacing w:val="-6"/>
          <w:sz w:val="32"/>
          <w:szCs w:val="32"/>
        </w:rPr>
        <w:t>总体情况</w:t>
      </w:r>
    </w:p>
    <w:p>
      <w:pPr>
        <w:keepNext w:val="0"/>
        <w:keepLines w:val="0"/>
        <w:pageBreakBefore w:val="0"/>
        <w:widowControl/>
        <w:numPr>
          <w:ilvl w:val="-1"/>
          <w:numId w:val="0"/>
        </w:numPr>
        <w:kinsoku/>
        <w:wordWrap/>
        <w:overflowPunct/>
        <w:topLinePunct w:val="0"/>
        <w:autoSpaceDE/>
        <w:autoSpaceDN/>
        <w:bidi w:val="0"/>
        <w:adjustRightInd/>
        <w:snapToGrid/>
        <w:spacing w:line="574" w:lineRule="exact"/>
        <w:ind w:right="0" w:rightChars="0" w:firstLine="616" w:firstLineChars="200"/>
        <w:jc w:val="both"/>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sz w:val="32"/>
          <w:szCs w:val="22"/>
          <w:highlight w:val="none"/>
          <w:lang w:val="en-US" w:eastAsia="zh-CN"/>
        </w:rPr>
        <w:t>改造项目涉及3宗用地，均位于板芙镇深湾村板芙南路134号，北至新围四街，南至中山熙成织造有限公司，东至中山市凯裕机械加工厂，西至105国道，总用地面积为1.9153公顷（19152.88平方米，折合28.73亩）。其中地块一面积为0.8473公顷（8473平方米，折合12.71亩）；地块二面积为1.0632公顷（10632.45平方米，折合15.95亩）；地块三面积0.0047公顷（47.43平方米，折合0.07亩）。</w:t>
      </w:r>
    </w:p>
    <w:p>
      <w:pPr>
        <w:pStyle w:val="2"/>
        <w:adjustRightInd w:val="0"/>
        <w:snapToGrid w:val="0"/>
        <w:spacing w:before="0" w:after="0" w:line="574" w:lineRule="exact"/>
        <w:ind w:firstLine="0" w:firstLineChars="0"/>
        <w:jc w:val="both"/>
        <w:rPr>
          <w:rFonts w:hint="default" w:ascii="Calibri" w:hAnsi="Calibri" w:eastAsia="宋体" w:cs="Times New Roman"/>
          <w:sz w:val="44"/>
          <w:szCs w:val="44"/>
          <w:lang w:val="en-US" w:eastAsia="zh-CN"/>
        </w:rPr>
      </w:pPr>
      <w:r>
        <w:rPr>
          <w:rFonts w:hint="default" w:ascii="Calibri" w:hAnsi="Calibri" w:eastAsia="宋体" w:cs="Times New Roman"/>
          <w:sz w:val="44"/>
          <w:szCs w:val="44"/>
          <w:lang w:val="en-US" w:eastAsia="zh-CN"/>
        </w:rPr>
        <w:drawing>
          <wp:anchor distT="0" distB="0" distL="114300" distR="114300" simplePos="0" relativeHeight="251659264" behindDoc="0" locked="0" layoutInCell="1" allowOverlap="1">
            <wp:simplePos x="0" y="0"/>
            <wp:positionH relativeFrom="column">
              <wp:posOffset>-254635</wp:posOffset>
            </wp:positionH>
            <wp:positionV relativeFrom="paragraph">
              <wp:posOffset>85725</wp:posOffset>
            </wp:positionV>
            <wp:extent cx="5268595" cy="3452495"/>
            <wp:effectExtent l="12700" t="12700" r="14605" b="20955"/>
            <wp:wrapTopAndBottom/>
            <wp:docPr id="1" name="图片 1" descr="项目地块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项目地块示意图"/>
                    <pic:cNvPicPr>
                      <a:picLocks noChangeAspect="1"/>
                    </pic:cNvPicPr>
                  </pic:nvPicPr>
                  <pic:blipFill>
                    <a:blip r:embed="rId5"/>
                    <a:srcRect b="7408"/>
                    <a:stretch>
                      <a:fillRect/>
                    </a:stretch>
                  </pic:blipFill>
                  <pic:spPr>
                    <a:xfrm>
                      <a:off x="0" y="0"/>
                      <a:ext cx="5268595" cy="3452495"/>
                    </a:xfrm>
                    <a:prstGeom prst="rect">
                      <a:avLst/>
                    </a:prstGeom>
                    <a:ln w="12700">
                      <a:solidFill>
                        <a:schemeClr val="tx1"/>
                      </a:solidFill>
                    </a:ln>
                  </pic:spPr>
                </pic:pic>
              </a:graphicData>
            </a:graphic>
          </wp:anchor>
        </w:drawing>
      </w:r>
    </w:p>
    <w:p>
      <w:pPr>
        <w:adjustRightInd w:val="0"/>
        <w:snapToGrid w:val="0"/>
        <w:spacing w:beforeLines="0" w:afterLines="0" w:line="574" w:lineRule="exact"/>
        <w:ind w:firstLine="482" w:firstLineChars="200"/>
        <w:jc w:val="center"/>
        <w:rPr>
          <w:rFonts w:hint="default" w:ascii="Calibri" w:hAnsi="Calibri" w:eastAsia="宋体" w:cs="Times New Roman"/>
          <w:sz w:val="21"/>
          <w:szCs w:val="24"/>
          <w:highlight w:val="none"/>
          <w:lang w:val="en-US" w:eastAsia="zh-CN"/>
        </w:rPr>
      </w:pPr>
      <w:r>
        <w:rPr>
          <w:rFonts w:hint="eastAsia" w:ascii="Times New Roman" w:hAnsi="Times New Roman" w:eastAsia="仿宋_GB2312"/>
          <w:b/>
          <w:bCs/>
          <w:sz w:val="24"/>
          <w:szCs w:val="24"/>
          <w:highlight w:val="none"/>
          <w:lang w:val="en-US" w:eastAsia="zh-CN"/>
        </w:rPr>
        <w:t>项目地块示意图</w:t>
      </w:r>
    </w:p>
    <w:p>
      <w:pPr>
        <w:numPr>
          <w:ilvl w:val="0"/>
          <w:numId w:val="2"/>
        </w:numPr>
        <w:wordWrap/>
        <w:adjustRightInd w:val="0"/>
        <w:snapToGrid w:val="0"/>
        <w:spacing w:beforeLines="0" w:afterLines="0" w:line="574" w:lineRule="exact"/>
        <w:ind w:left="0" w:firstLine="616" w:firstLineChars="200"/>
        <w:jc w:val="both"/>
        <w:rPr>
          <w:rFonts w:ascii="楷体_GB2312" w:eastAsia="楷体_GB2312" w:cs="Times New Roman"/>
          <w:spacing w:val="-6"/>
          <w:sz w:val="32"/>
          <w:szCs w:val="32"/>
        </w:rPr>
      </w:pPr>
      <w:r>
        <w:rPr>
          <w:rFonts w:ascii="楷体_GB2312" w:eastAsia="楷体_GB2312" w:cs="Times New Roman"/>
          <w:spacing w:val="-6"/>
          <w:sz w:val="32"/>
          <w:szCs w:val="32"/>
        </w:rPr>
        <w:t>标图入库情</w:t>
      </w:r>
      <w:bookmarkStart w:id="0" w:name="_GoBack"/>
      <w:bookmarkEnd w:id="0"/>
      <w:r>
        <w:rPr>
          <w:rFonts w:ascii="楷体_GB2312" w:eastAsia="楷体_GB2312" w:cs="Times New Roman"/>
          <w:spacing w:val="-6"/>
          <w:sz w:val="32"/>
          <w:szCs w:val="32"/>
        </w:rPr>
        <w:t>况</w:t>
      </w:r>
    </w:p>
    <w:p>
      <w:pPr>
        <w:widowControl/>
        <w:numPr>
          <w:ilvl w:val="-1"/>
          <w:numId w:val="0"/>
        </w:numPr>
        <w:wordWrap/>
        <w:adjustRightInd/>
        <w:snapToGrid/>
        <w:spacing w:line="574" w:lineRule="exact"/>
        <w:ind w:firstLine="616" w:firstLineChars="200"/>
        <w:jc w:val="both"/>
        <w:outlineLvl w:val="9"/>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sz w:val="32"/>
          <w:szCs w:val="22"/>
          <w:highlight w:val="none"/>
          <w:lang w:val="en-US" w:eastAsia="zh-CN"/>
        </w:rPr>
        <w:t>改造项目正在办理“三旧”改造标图入库，图斑编号为44200070016，拟标图入库图斑面积共1.9153公顷（19152.88平方米，折合28.73亩），全部纳入本次改造范围。</w:t>
      </w:r>
      <w:r>
        <w:rPr>
          <w:rFonts w:hint="eastAsia" w:ascii="Times New Roman" w:hAnsi="Times New Roman" w:eastAsia="仿宋_GB2312" w:cs="Times New Roman"/>
          <w:color w:val="000000"/>
          <w:spacing w:val="-6"/>
          <w:sz w:val="32"/>
          <w:szCs w:val="32"/>
          <w:highlight w:val="none"/>
          <w:lang w:val="en-US" w:eastAsia="zh-CN"/>
        </w:rPr>
        <w:t>具体以实际标图入库面积为准。</w:t>
      </w:r>
    </w:p>
    <w:p>
      <w:pPr>
        <w:numPr>
          <w:ilvl w:val="0"/>
          <w:numId w:val="2"/>
        </w:numPr>
        <w:wordWrap/>
        <w:adjustRightInd w:val="0"/>
        <w:snapToGrid w:val="0"/>
        <w:spacing w:beforeLines="0" w:afterLines="0" w:line="574" w:lineRule="exact"/>
        <w:ind w:left="0" w:firstLine="616" w:firstLineChars="200"/>
        <w:jc w:val="both"/>
        <w:rPr>
          <w:rFonts w:hint="eastAsia" w:ascii="楷体_GB2312" w:eastAsia="楷体_GB2312" w:cs="Times New Roman"/>
          <w:spacing w:val="-6"/>
          <w:sz w:val="32"/>
          <w:szCs w:val="32"/>
        </w:rPr>
      </w:pPr>
      <w:r>
        <w:rPr>
          <w:rFonts w:hint="eastAsia" w:ascii="楷体_GB2312" w:eastAsia="楷体_GB2312" w:cs="Times New Roman"/>
          <w:spacing w:val="-6"/>
          <w:sz w:val="32"/>
          <w:szCs w:val="32"/>
        </w:rPr>
        <w:t>权属情况</w:t>
      </w:r>
    </w:p>
    <w:p>
      <w:pPr>
        <w:widowControl/>
        <w:numPr>
          <w:ilvl w:val="-1"/>
          <w:numId w:val="0"/>
        </w:numPr>
        <w:wordWrap/>
        <w:adjustRightInd/>
        <w:snapToGrid/>
        <w:spacing w:line="574" w:lineRule="exact"/>
        <w:ind w:firstLine="616" w:firstLineChars="200"/>
        <w:jc w:val="both"/>
        <w:outlineLvl w:val="9"/>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sz w:val="32"/>
          <w:szCs w:val="22"/>
          <w:highlight w:val="none"/>
          <w:lang w:val="en-US" w:eastAsia="zh-CN"/>
        </w:rPr>
        <w:t>改造项目涉及2宗国有建设用地和1宗国有农用地，土地用途为工业，改造涉及的土地均已确权、登记，其中地块一和地块二不动产权证号分别为中府国用（2008）第易300086号、粤（2022）中山市不动产权第0235365号，为土地权利人刘广雄分别自2008年3月与2001年8月开始使用；地块三未办理土地使用权证，已确权登记至中山市板芙镇人民政府名下，已出具确认土地权属说明的函。</w:t>
      </w:r>
    </w:p>
    <w:p>
      <w:pPr>
        <w:keepNext w:val="0"/>
        <w:keepLines w:val="0"/>
        <w:pageBreakBefore w:val="0"/>
        <w:numPr>
          <w:ilvl w:val="0"/>
          <w:numId w:val="3"/>
        </w:numPr>
        <w:kinsoku/>
        <w:wordWrap/>
        <w:overflowPunct/>
        <w:topLinePunct w:val="0"/>
        <w:autoSpaceDE/>
        <w:autoSpaceDN/>
        <w:bidi w:val="0"/>
        <w:adjustRightInd w:val="0"/>
        <w:snapToGrid w:val="0"/>
        <w:spacing w:beforeLines="0" w:afterLines="0" w:line="574" w:lineRule="exact"/>
        <w:ind w:right="0" w:rightChars="0" w:firstLine="616" w:firstLineChars="200"/>
        <w:jc w:val="both"/>
        <w:rPr>
          <w:rFonts w:ascii="楷体_GB2312" w:eastAsia="楷体_GB2312" w:cs="Times New Roman"/>
          <w:spacing w:val="-6"/>
          <w:sz w:val="32"/>
          <w:szCs w:val="32"/>
        </w:rPr>
      </w:pPr>
      <w:r>
        <w:rPr>
          <w:rFonts w:ascii="楷体_GB2312" w:eastAsia="楷体_GB2312" w:cs="Times New Roman"/>
          <w:spacing w:val="-6"/>
          <w:sz w:val="32"/>
          <w:szCs w:val="32"/>
        </w:rPr>
        <w:t>土地现状情况</w:t>
      </w:r>
    </w:p>
    <w:p>
      <w:pPr>
        <w:keepNext w:val="0"/>
        <w:keepLines w:val="0"/>
        <w:pageBreakBefore w:val="0"/>
        <w:widowControl/>
        <w:numPr>
          <w:ilvl w:val="0"/>
          <w:numId w:val="0"/>
        </w:numPr>
        <w:kinsoku/>
        <w:wordWrap/>
        <w:overflowPunct/>
        <w:topLinePunct w:val="0"/>
        <w:autoSpaceDE/>
        <w:autoSpaceDN/>
        <w:bidi w:val="0"/>
        <w:adjustRightInd/>
        <w:snapToGrid/>
        <w:spacing w:line="574" w:lineRule="exact"/>
        <w:ind w:right="0" w:rightChars="0" w:firstLine="616" w:firstLineChars="200"/>
        <w:jc w:val="both"/>
        <w:outlineLvl w:val="9"/>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sz w:val="32"/>
          <w:szCs w:val="22"/>
          <w:highlight w:val="none"/>
        </w:rPr>
        <w:t>改造地块</w:t>
      </w:r>
      <w:r>
        <w:rPr>
          <w:rFonts w:hint="eastAsia" w:ascii="仿宋_GB2312" w:hAnsi="仿宋_GB2312" w:eastAsia="仿宋_GB2312" w:cs="仿宋_GB2312"/>
          <w:color w:val="auto"/>
          <w:spacing w:val="-6"/>
          <w:sz w:val="32"/>
          <w:szCs w:val="22"/>
          <w:highlight w:val="none"/>
          <w:lang w:val="en-US" w:eastAsia="zh-CN"/>
        </w:rPr>
        <w:t>在</w:t>
      </w:r>
      <w:r>
        <w:rPr>
          <w:rFonts w:hint="eastAsia" w:ascii="仿宋_GB2312" w:hAnsi="仿宋_GB2312" w:eastAsia="仿宋_GB2312" w:cs="仿宋_GB2312"/>
          <w:color w:val="auto"/>
          <w:spacing w:val="-6"/>
          <w:kern w:val="2"/>
          <w:sz w:val="32"/>
          <w:szCs w:val="22"/>
          <w:highlight w:val="none"/>
        </w:rPr>
        <w:t>“二调”</w:t>
      </w:r>
      <w:r>
        <w:rPr>
          <w:rFonts w:hint="eastAsia" w:ascii="仿宋_GB2312" w:hAnsi="仿宋_GB2312" w:eastAsia="仿宋_GB2312" w:cs="仿宋_GB2312"/>
          <w:color w:val="auto"/>
          <w:spacing w:val="-6"/>
          <w:kern w:val="2"/>
          <w:sz w:val="32"/>
          <w:szCs w:val="22"/>
          <w:highlight w:val="none"/>
          <w:lang w:eastAsia="zh-CN"/>
        </w:rPr>
        <w:t>及</w:t>
      </w:r>
      <w:r>
        <w:rPr>
          <w:rFonts w:hint="eastAsia" w:ascii="仿宋_GB2312" w:hAnsi="仿宋_GB2312" w:eastAsia="仿宋_GB2312" w:cs="仿宋_GB2312"/>
          <w:color w:val="auto"/>
          <w:spacing w:val="-6"/>
          <w:kern w:val="2"/>
          <w:sz w:val="32"/>
          <w:szCs w:val="22"/>
          <w:highlight w:val="none"/>
        </w:rPr>
        <w:t>最新土地利用现状</w:t>
      </w:r>
      <w:r>
        <w:rPr>
          <w:rFonts w:hint="eastAsia" w:ascii="仿宋_GB2312" w:hAnsi="仿宋_GB2312" w:eastAsia="仿宋_GB2312" w:cs="仿宋_GB2312"/>
          <w:color w:val="auto"/>
          <w:spacing w:val="-6"/>
          <w:kern w:val="2"/>
          <w:sz w:val="32"/>
          <w:szCs w:val="22"/>
          <w:highlight w:val="none"/>
          <w:lang w:val="en-US" w:eastAsia="zh-CN"/>
        </w:rPr>
        <w:t>中均为建设用地，</w:t>
      </w:r>
      <w:r>
        <w:rPr>
          <w:rFonts w:hint="eastAsia" w:ascii="仿宋_GB2312" w:hAnsi="仿宋_GB2312" w:eastAsia="仿宋_GB2312" w:cs="仿宋_GB2312"/>
          <w:color w:val="auto"/>
          <w:spacing w:val="-6"/>
          <w:sz w:val="32"/>
          <w:szCs w:val="22"/>
          <w:highlight w:val="none"/>
          <w:lang w:val="en-US" w:eastAsia="zh-CN"/>
        </w:rPr>
        <w:t>改造项目地块一、地块二已完善建设用地手续，地块三暂未完善建设用地手续。改造范围内现有共10幢建筑物，均为钢筋混凝土结构，总建筑面积为20224.17平方米，现状容积率1.06，作工业厂房所用，其中地块一涉及4幢建筑物，地块二涉及6幢建筑物，为刘广雄分别自2008年3月与2001年8月开始使用。除地块二涉及的1幢建筑物共2880.21平方米无合法规划报建手续外，其余9幢建筑物均已按规定办理规划报建等手续。</w:t>
      </w:r>
    </w:p>
    <w:p>
      <w:pPr>
        <w:keepNext w:val="0"/>
        <w:keepLines w:val="0"/>
        <w:pageBreakBefore w:val="0"/>
        <w:widowControl/>
        <w:numPr>
          <w:ilvl w:val="0"/>
          <w:numId w:val="0"/>
        </w:numPr>
        <w:kinsoku/>
        <w:wordWrap/>
        <w:overflowPunct/>
        <w:topLinePunct w:val="0"/>
        <w:autoSpaceDE/>
        <w:autoSpaceDN/>
        <w:bidi w:val="0"/>
        <w:adjustRightInd/>
        <w:snapToGrid/>
        <w:spacing w:line="574" w:lineRule="exact"/>
        <w:ind w:right="0" w:rightChars="0" w:firstLine="616" w:firstLineChars="200"/>
        <w:jc w:val="both"/>
        <w:outlineLvl w:val="9"/>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sz w:val="32"/>
          <w:szCs w:val="22"/>
          <w:highlight w:val="none"/>
          <w:lang w:val="en-US" w:eastAsia="zh-CN"/>
        </w:rPr>
        <w:t>目前拆除建筑面积为0平方米，</w:t>
      </w:r>
      <w:r>
        <w:rPr>
          <w:rFonts w:hint="eastAsia" w:ascii="仿宋_GB2312" w:hAnsi="仿宋_GB2312" w:eastAsia="仿宋_GB2312" w:cs="仿宋_GB2312"/>
          <w:color w:val="auto"/>
          <w:spacing w:val="-6"/>
          <w:kern w:val="2"/>
          <w:sz w:val="32"/>
          <w:szCs w:val="22"/>
          <w:highlight w:val="none"/>
          <w:lang w:val="en-US" w:eastAsia="zh-CN" w:bidi="ar-SA"/>
        </w:rPr>
        <w:t>改造前年产值约为</w:t>
      </w:r>
      <w:r>
        <w:rPr>
          <w:rFonts w:hint="eastAsia" w:ascii="仿宋_GB2312" w:hAnsi="仿宋_GB2312" w:eastAsia="仿宋_GB2312" w:cs="仿宋_GB2312"/>
          <w:color w:val="auto"/>
          <w:spacing w:val="-6"/>
          <w:sz w:val="32"/>
          <w:szCs w:val="22"/>
          <w:highlight w:val="none"/>
          <w:lang w:val="en-US" w:eastAsia="zh-CN"/>
        </w:rPr>
        <w:t>237</w:t>
      </w:r>
      <w:r>
        <w:rPr>
          <w:rFonts w:hint="eastAsia" w:ascii="仿宋_GB2312" w:hAnsi="仿宋_GB2312" w:eastAsia="仿宋_GB2312" w:cs="仿宋_GB2312"/>
          <w:color w:val="auto"/>
          <w:spacing w:val="-6"/>
          <w:kern w:val="2"/>
          <w:sz w:val="32"/>
          <w:szCs w:val="22"/>
          <w:highlight w:val="none"/>
          <w:lang w:val="en-US" w:eastAsia="zh-CN" w:bidi="ar-SA"/>
        </w:rPr>
        <w:t>万元（约8.25万/亩），租金收入</w:t>
      </w:r>
      <w:r>
        <w:rPr>
          <w:rFonts w:hint="eastAsia" w:ascii="仿宋_GB2312" w:hAnsi="仿宋_GB2312" w:eastAsia="仿宋_GB2312" w:cs="仿宋_GB2312"/>
          <w:color w:val="auto"/>
          <w:spacing w:val="-6"/>
          <w:sz w:val="32"/>
          <w:szCs w:val="22"/>
          <w:highlight w:val="none"/>
          <w:lang w:val="en-US" w:eastAsia="zh-CN"/>
        </w:rPr>
        <w:t>0</w:t>
      </w:r>
      <w:r>
        <w:rPr>
          <w:rFonts w:hint="eastAsia" w:ascii="仿宋_GB2312" w:hAnsi="仿宋_GB2312" w:eastAsia="仿宋_GB2312" w:cs="仿宋_GB2312"/>
          <w:color w:val="auto"/>
          <w:spacing w:val="-6"/>
          <w:kern w:val="2"/>
          <w:sz w:val="32"/>
          <w:szCs w:val="22"/>
          <w:highlight w:val="none"/>
          <w:lang w:val="en-US" w:eastAsia="zh-CN" w:bidi="ar-SA"/>
        </w:rPr>
        <w:t>万元，年税收约为</w:t>
      </w:r>
      <w:r>
        <w:rPr>
          <w:rFonts w:hint="eastAsia" w:ascii="仿宋_GB2312" w:hAnsi="仿宋_GB2312" w:eastAsia="仿宋_GB2312" w:cs="仿宋_GB2312"/>
          <w:color w:val="auto"/>
          <w:spacing w:val="-6"/>
          <w:sz w:val="32"/>
          <w:szCs w:val="22"/>
          <w:highlight w:val="none"/>
          <w:lang w:val="en-US" w:eastAsia="zh-CN"/>
        </w:rPr>
        <w:t>6万</w:t>
      </w:r>
      <w:r>
        <w:rPr>
          <w:rFonts w:hint="eastAsia" w:ascii="仿宋_GB2312" w:hAnsi="仿宋_GB2312" w:eastAsia="仿宋_GB2312" w:cs="仿宋_GB2312"/>
          <w:color w:val="auto"/>
          <w:spacing w:val="-6"/>
          <w:kern w:val="2"/>
          <w:sz w:val="32"/>
          <w:szCs w:val="22"/>
          <w:highlight w:val="none"/>
          <w:lang w:val="en-US" w:eastAsia="zh-CN" w:bidi="ar-SA"/>
        </w:rPr>
        <w:t>元（约0.47万/亩）。</w:t>
      </w:r>
    </w:p>
    <w:p>
      <w:pPr>
        <w:spacing w:line="574" w:lineRule="exact"/>
        <w:ind w:firstLine="616" w:firstLineChars="200"/>
        <w:jc w:val="both"/>
        <w:rPr>
          <w:rFonts w:hint="eastAsia"/>
          <w:lang w:val="en-US" w:eastAsia="zh-CN"/>
        </w:rPr>
      </w:pPr>
      <w:r>
        <w:rPr>
          <w:rFonts w:hint="eastAsia" w:ascii="仿宋_GB2312" w:hAnsi="仿宋_GB2312" w:eastAsia="仿宋_GB2312" w:cs="仿宋_GB2312"/>
          <w:spacing w:val="-6"/>
          <w:sz w:val="32"/>
          <w:lang w:val="en-US" w:eastAsia="zh-CN"/>
        </w:rPr>
        <w:t>改造范围内地块三</w:t>
      </w:r>
      <w:r>
        <w:rPr>
          <w:rFonts w:hint="eastAsia" w:ascii="仿宋_GB2312" w:hAnsi="仿宋_GB2312" w:eastAsia="仿宋_GB2312" w:cs="仿宋_GB2312"/>
          <w:spacing w:val="-6"/>
          <w:sz w:val="32"/>
          <w:lang w:eastAsia="zh-CN"/>
        </w:rPr>
        <w:t>涉及违法用地已处置完毕，</w:t>
      </w:r>
      <w:r>
        <w:rPr>
          <w:rFonts w:hint="eastAsia" w:ascii="仿宋_GB2312" w:hAnsi="仿宋_GB2312" w:eastAsia="仿宋_GB2312" w:cs="仿宋_GB2312"/>
          <w:spacing w:val="-6"/>
          <w:sz w:val="32"/>
          <w:lang w:val="en-US" w:eastAsia="zh-CN"/>
        </w:rPr>
        <w:t>地块一、地块二均不涉及闲置</w:t>
      </w:r>
      <w:r>
        <w:rPr>
          <w:rFonts w:hint="eastAsia" w:ascii="仿宋_GB2312" w:hAnsi="仿宋_GB2312" w:eastAsia="仿宋_GB2312" w:cs="仿宋_GB2312"/>
          <w:spacing w:val="-6"/>
          <w:sz w:val="32"/>
          <w:lang w:eastAsia="zh-CN"/>
        </w:rPr>
        <w:t>、</w:t>
      </w:r>
      <w:r>
        <w:rPr>
          <w:rFonts w:hint="eastAsia" w:ascii="仿宋_GB2312" w:hAnsi="仿宋_GB2312" w:eastAsia="仿宋_GB2312" w:cs="仿宋_GB2312"/>
          <w:spacing w:val="-6"/>
          <w:sz w:val="32"/>
        </w:rPr>
        <w:t>抵押、</w:t>
      </w:r>
      <w:r>
        <w:rPr>
          <w:rFonts w:hint="eastAsia" w:ascii="仿宋_GB2312" w:hAnsi="仿宋_GB2312" w:eastAsia="仿宋_GB2312" w:cs="仿宋_GB2312"/>
          <w:spacing w:val="-6"/>
          <w:sz w:val="32"/>
          <w:lang w:eastAsia="zh-CN"/>
        </w:rPr>
        <w:t>查封情况；</w:t>
      </w:r>
      <w:r>
        <w:rPr>
          <w:rFonts w:hint="eastAsia" w:ascii="仿宋_GB2312" w:hAnsi="仿宋_GB2312" w:eastAsia="仿宋_GB2312" w:cs="仿宋_GB2312"/>
          <w:spacing w:val="-6"/>
          <w:sz w:val="32"/>
          <w:lang w:val="en-US" w:eastAsia="zh-CN"/>
        </w:rPr>
        <w:t>改造地块均</w:t>
      </w:r>
      <w:r>
        <w:rPr>
          <w:rFonts w:hint="eastAsia" w:ascii="仿宋_GB2312" w:hAnsi="仿宋_GB2312" w:eastAsia="仿宋_GB2312" w:cs="仿宋_GB2312"/>
          <w:spacing w:val="-6"/>
          <w:sz w:val="32"/>
          <w:lang w:eastAsia="zh-CN"/>
        </w:rPr>
        <w:t>不涉及</w:t>
      </w:r>
      <w:r>
        <w:rPr>
          <w:rFonts w:hint="eastAsia" w:ascii="仿宋_GB2312" w:hAnsi="仿宋_GB2312" w:eastAsia="仿宋_GB2312" w:cs="仿宋_GB2312"/>
          <w:spacing w:val="-6"/>
          <w:sz w:val="32"/>
        </w:rPr>
        <w:t>历史文化资源元素</w:t>
      </w:r>
      <w:r>
        <w:rPr>
          <w:rFonts w:hint="eastAsia" w:ascii="仿宋_GB2312" w:hAnsi="仿宋_GB2312" w:eastAsia="仿宋_GB2312" w:cs="仿宋_GB2312"/>
          <w:spacing w:val="-6"/>
          <w:sz w:val="32"/>
          <w:lang w:eastAsia="zh-CN"/>
        </w:rPr>
        <w:t>、</w:t>
      </w:r>
      <w:r>
        <w:rPr>
          <w:rFonts w:hint="eastAsia" w:ascii="仿宋_GB2312" w:hAnsi="仿宋_GB2312" w:eastAsia="仿宋_GB2312" w:cs="仿宋_GB2312"/>
          <w:spacing w:val="-6"/>
          <w:sz w:val="32"/>
          <w:szCs w:val="32"/>
          <w:highlight w:val="none"/>
        </w:rPr>
        <w:t>土壤环境潜在监管地块</w:t>
      </w:r>
      <w:r>
        <w:rPr>
          <w:rFonts w:hint="eastAsia" w:ascii="仿宋_GB2312" w:hAnsi="仿宋_GB2312" w:eastAsia="仿宋_GB2312" w:cs="仿宋_GB2312"/>
          <w:spacing w:val="-6"/>
          <w:sz w:val="32"/>
        </w:rPr>
        <w:t>。</w:t>
      </w:r>
    </w:p>
    <w:p>
      <w:pPr>
        <w:pStyle w:val="12"/>
        <w:keepNext w:val="0"/>
        <w:keepLines w:val="0"/>
        <w:pageBreakBefore w:val="0"/>
        <w:numPr>
          <w:ilvl w:val="0"/>
          <w:numId w:val="3"/>
        </w:numPr>
        <w:kinsoku/>
        <w:wordWrap/>
        <w:overflowPunct/>
        <w:topLinePunct w:val="0"/>
        <w:autoSpaceDE/>
        <w:autoSpaceDN/>
        <w:bidi w:val="0"/>
        <w:adjustRightInd w:val="0"/>
        <w:snapToGrid w:val="0"/>
        <w:spacing w:beforeLines="0" w:afterLines="0" w:line="574" w:lineRule="exact"/>
        <w:ind w:firstLine="616" w:firstLineChars="200"/>
        <w:jc w:val="both"/>
        <w:textAlignment w:val="auto"/>
        <w:rPr>
          <w:rFonts w:ascii="楷体_GB2312" w:eastAsia="楷体_GB2312" w:cs="Times New Roman"/>
          <w:spacing w:val="-6"/>
          <w:sz w:val="32"/>
          <w:szCs w:val="32"/>
        </w:rPr>
      </w:pPr>
      <w:r>
        <w:rPr>
          <w:rFonts w:ascii="楷体_GB2312" w:eastAsia="楷体_GB2312" w:cs="Times New Roman"/>
          <w:spacing w:val="-6"/>
          <w:sz w:val="32"/>
          <w:szCs w:val="32"/>
        </w:rPr>
        <w:t>规划情况</w:t>
      </w:r>
    </w:p>
    <w:p>
      <w:pPr>
        <w:keepNext w:val="0"/>
        <w:keepLines w:val="0"/>
        <w:pageBreakBefore w:val="0"/>
        <w:numPr>
          <w:ilvl w:val="0"/>
          <w:numId w:val="0"/>
        </w:numPr>
        <w:kinsoku/>
        <w:wordWrap/>
        <w:overflowPunct/>
        <w:topLinePunct w:val="0"/>
        <w:autoSpaceDE/>
        <w:autoSpaceDN/>
        <w:bidi w:val="0"/>
        <w:adjustRightInd/>
        <w:snapToGrid/>
        <w:spacing w:line="574" w:lineRule="exact"/>
        <w:ind w:firstLine="616" w:firstLineChars="200"/>
        <w:jc w:val="both"/>
        <w:textAlignment w:val="auto"/>
        <w:outlineLvl w:val="9"/>
        <w:rPr>
          <w:rFonts w:hint="eastAsia" w:ascii="仿宋_GB2312" w:hAnsi="仿宋_GB2312" w:eastAsia="仿宋_GB2312" w:cs="仿宋_GB2312"/>
          <w:bCs w:val="0"/>
          <w:color w:val="auto"/>
          <w:spacing w:val="-6"/>
          <w:kern w:val="2"/>
          <w:sz w:val="32"/>
          <w:szCs w:val="22"/>
          <w:highlight w:val="none"/>
          <w:lang w:val="en-US" w:eastAsia="zh-CN"/>
        </w:rPr>
      </w:pPr>
      <w:r>
        <w:rPr>
          <w:rFonts w:hint="eastAsia" w:ascii="仿宋_GB2312" w:hAnsi="仿宋_GB2312" w:eastAsia="仿宋_GB2312" w:cs="仿宋_GB2312"/>
          <w:bCs w:val="0"/>
          <w:color w:val="auto"/>
          <w:spacing w:val="-6"/>
          <w:kern w:val="2"/>
          <w:sz w:val="32"/>
          <w:szCs w:val="22"/>
          <w:highlight w:val="none"/>
          <w:lang w:val="en-US" w:eastAsia="zh-CN" w:bidi="ar-SA"/>
        </w:rPr>
        <w:t>改造项目符合</w:t>
      </w:r>
      <w:r>
        <w:rPr>
          <w:rFonts w:hint="eastAsia" w:ascii="仿宋_GB2312" w:hAnsi="仿宋_GB2312" w:eastAsia="仿宋_GB2312" w:cs="仿宋_GB2312"/>
          <w:color w:val="auto"/>
          <w:spacing w:val="-6"/>
          <w:kern w:val="2"/>
          <w:sz w:val="32"/>
          <w:szCs w:val="22"/>
          <w:highlight w:val="none"/>
          <w:u w:val="none"/>
          <w:lang w:val="en-US" w:eastAsia="zh-CN"/>
        </w:rPr>
        <w:t>国土空间总体规划</w:t>
      </w:r>
      <w:r>
        <w:rPr>
          <w:rFonts w:hint="eastAsia" w:ascii="仿宋_GB2312" w:hAnsi="仿宋_GB2312" w:eastAsia="仿宋_GB2312" w:cs="仿宋_GB2312"/>
          <w:bCs w:val="0"/>
          <w:color w:val="auto"/>
          <w:spacing w:val="-6"/>
          <w:kern w:val="2"/>
          <w:sz w:val="32"/>
          <w:szCs w:val="22"/>
          <w:highlight w:val="none"/>
          <w:lang w:val="en-US" w:eastAsia="zh-CN" w:bidi="ar-SA"/>
        </w:rPr>
        <w:t>、</w:t>
      </w:r>
      <w:r>
        <w:rPr>
          <w:rFonts w:hint="eastAsia" w:ascii="仿宋_GB2312" w:hAnsi="仿宋_GB2312" w:eastAsia="仿宋_GB2312" w:cs="仿宋_GB2312"/>
          <w:color w:val="auto"/>
          <w:spacing w:val="-6"/>
          <w:kern w:val="2"/>
          <w:sz w:val="32"/>
          <w:szCs w:val="22"/>
          <w:highlight w:val="none"/>
          <w:u w:val="none"/>
          <w:lang w:val="en-US" w:eastAsia="zh-CN"/>
        </w:rPr>
        <w:t>经批复规划条件论证</w:t>
      </w:r>
      <w:r>
        <w:rPr>
          <w:rFonts w:hint="eastAsia" w:ascii="仿宋_GB2312" w:hAnsi="仿宋_GB2312" w:eastAsia="仿宋_GB2312" w:cs="仿宋_GB2312"/>
          <w:bCs w:val="0"/>
          <w:color w:val="auto"/>
          <w:spacing w:val="-6"/>
          <w:kern w:val="2"/>
          <w:sz w:val="32"/>
          <w:szCs w:val="22"/>
          <w:highlight w:val="none"/>
          <w:lang w:val="en-US" w:eastAsia="zh-CN" w:bidi="ar-SA"/>
        </w:rPr>
        <w:t>，已纳入《中山市城市更新（“三旧”改造）专项规划（2020-2035）》。</w:t>
      </w:r>
      <w:r>
        <w:rPr>
          <w:rFonts w:hint="eastAsia" w:ascii="仿宋_GB2312" w:hAnsi="仿宋_GB2312" w:eastAsia="仿宋_GB2312" w:cs="仿宋_GB2312"/>
          <w:color w:val="auto"/>
          <w:spacing w:val="-6"/>
          <w:kern w:val="2"/>
          <w:sz w:val="32"/>
          <w:szCs w:val="22"/>
          <w:highlight w:val="none"/>
          <w:u w:val="none"/>
          <w:lang w:val="en-US" w:eastAsia="zh-CN"/>
        </w:rPr>
        <w:t>在《中山市国土空间总体规划（2021-2035年）》中项目用地范围均属城镇建设用地；</w:t>
      </w:r>
      <w:r>
        <w:rPr>
          <w:rFonts w:hint="eastAsia" w:ascii="仿宋_GB2312" w:hAnsi="仿宋_GB2312" w:eastAsia="仿宋_GB2312" w:cs="仿宋_GB2312"/>
          <w:bCs w:val="0"/>
          <w:color w:val="auto"/>
          <w:spacing w:val="-6"/>
          <w:kern w:val="2"/>
          <w:sz w:val="32"/>
          <w:szCs w:val="22"/>
          <w:highlight w:val="none"/>
          <w:lang w:val="en-US" w:eastAsia="zh-CN"/>
        </w:rPr>
        <w:t>在《中山市板芙镇工业用地规划条件论证》</w:t>
      </w:r>
      <w:r>
        <w:rPr>
          <w:rFonts w:hint="eastAsia" w:ascii="仿宋_GB2312" w:hAnsi="仿宋_GB2312" w:eastAsia="仿宋_GB2312" w:cs="仿宋_GB2312"/>
          <w:color w:val="auto"/>
          <w:spacing w:val="-6"/>
          <w:kern w:val="2"/>
          <w:sz w:val="32"/>
          <w:szCs w:val="22"/>
          <w:highlight w:val="none"/>
          <w:lang w:val="en-US" w:eastAsia="zh-CN" w:bidi="ar-SA"/>
        </w:rPr>
        <w:t>（</w:t>
      </w:r>
      <w:r>
        <w:rPr>
          <w:rFonts w:hint="eastAsia" w:ascii="仿宋_GB2312" w:hAnsi="仿宋_GB2312" w:eastAsia="仿宋_GB2312" w:cs="仿宋_GB2312"/>
          <w:bCs w:val="0"/>
          <w:color w:val="auto"/>
          <w:spacing w:val="-6"/>
          <w:kern w:val="2"/>
          <w:sz w:val="32"/>
          <w:szCs w:val="22"/>
          <w:highlight w:val="none"/>
          <w:lang w:val="en-US" w:eastAsia="zh-CN"/>
        </w:rPr>
        <w:t>中府函（2022）237号）中，规划为一类工业用地1.8518公顷（18517.88平方米，折合27.78亩）；城市道路用地0.0597（596.73平方米，折合0.90亩）；三类居住用地0.0038公顷（38.27平方米，折合0.06亩）。其中规划一类工业用地容积率1.0-3.5，建筑密度35-60%，绿地率10-15%，建筑限高生产性建筑高度≤50米（特殊工艺除外，配套设施建筑高度≤100米）。</w:t>
      </w:r>
    </w:p>
    <w:p>
      <w:pPr>
        <w:widowControl/>
        <w:numPr>
          <w:ilvl w:val="0"/>
          <w:numId w:val="0"/>
        </w:numPr>
        <w:adjustRightInd/>
        <w:snapToGrid/>
        <w:spacing w:line="574" w:lineRule="exact"/>
        <w:ind w:firstLine="616" w:firstLineChars="200"/>
        <w:jc w:val="both"/>
        <w:outlineLvl w:val="9"/>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kern w:val="2"/>
          <w:sz w:val="32"/>
          <w:szCs w:val="22"/>
          <w:highlight w:val="none"/>
          <w:lang w:val="en-US" w:eastAsia="zh-CN" w:bidi="ar-SA"/>
        </w:rPr>
        <w:t>改造项目位于“三区三线”城镇开发边界内，不涉及永久基本农田、生态保护红线等管控要求。</w:t>
      </w:r>
    </w:p>
    <w:p>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leftChars="0" w:right="0" w:rightChars="0" w:firstLine="616" w:firstLineChars="200"/>
        <w:jc w:val="both"/>
        <w:outlineLvl w:val="0"/>
        <w:rPr>
          <w:rStyle w:val="11"/>
          <w:rFonts w:eastAsia="黑体"/>
          <w:spacing w:val="-6"/>
          <w:kern w:val="28"/>
          <w:sz w:val="32"/>
          <w:szCs w:val="32"/>
        </w:rPr>
      </w:pPr>
      <w:r>
        <w:rPr>
          <w:rStyle w:val="11"/>
          <w:rFonts w:eastAsia="黑体" w:asciiTheme="minorHAnsi" w:hAnsiTheme="minorHAnsi" w:cstheme="minorBidi"/>
          <w:spacing w:val="-6"/>
          <w:kern w:val="28"/>
          <w:sz w:val="32"/>
          <w:szCs w:val="32"/>
        </w:rPr>
        <w:t>改造意愿情况</w:t>
      </w:r>
    </w:p>
    <w:p>
      <w:pPr>
        <w:numPr>
          <w:ilvl w:val="0"/>
          <w:numId w:val="0"/>
        </w:numPr>
        <w:adjustRightInd/>
        <w:snapToGrid/>
        <w:spacing w:line="574" w:lineRule="exact"/>
        <w:ind w:firstLine="616" w:firstLineChars="0"/>
        <w:jc w:val="both"/>
        <w:outlineLvl w:val="9"/>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sz w:val="32"/>
          <w:szCs w:val="22"/>
          <w:highlight w:val="none"/>
          <w:lang w:eastAsia="zh-CN"/>
        </w:rPr>
        <w:t>改造</w:t>
      </w:r>
      <w:r>
        <w:rPr>
          <w:rFonts w:hint="eastAsia" w:ascii="仿宋_GB2312" w:hAnsi="仿宋_GB2312" w:eastAsia="仿宋_GB2312" w:cs="仿宋_GB2312"/>
          <w:color w:val="auto"/>
          <w:spacing w:val="-6"/>
          <w:sz w:val="32"/>
          <w:szCs w:val="22"/>
          <w:highlight w:val="none"/>
          <w:lang w:val="en-US" w:eastAsia="zh-CN"/>
        </w:rPr>
        <w:t>项目</w:t>
      </w:r>
      <w:r>
        <w:rPr>
          <w:rFonts w:hint="eastAsia" w:ascii="仿宋_GB2312" w:hAnsi="仿宋_GB2312" w:eastAsia="仿宋_GB2312" w:cs="仿宋_GB2312"/>
          <w:color w:val="auto"/>
          <w:spacing w:val="-6"/>
          <w:sz w:val="32"/>
          <w:szCs w:val="22"/>
          <w:highlight w:val="none"/>
          <w:lang w:eastAsia="zh-CN"/>
        </w:rPr>
        <w:t>范围涉及</w:t>
      </w:r>
      <w:r>
        <w:rPr>
          <w:rFonts w:hint="eastAsia" w:ascii="仿宋_GB2312" w:hAnsi="仿宋_GB2312" w:eastAsia="仿宋_GB2312" w:cs="仿宋_GB2312"/>
          <w:color w:val="auto"/>
          <w:spacing w:val="-6"/>
          <w:sz w:val="32"/>
          <w:szCs w:val="22"/>
          <w:highlight w:val="none"/>
          <w:lang w:val="en-US" w:eastAsia="zh-CN"/>
        </w:rPr>
        <w:t>刘广雄和板芙镇人民政府两个权利人</w:t>
      </w:r>
      <w:r>
        <w:rPr>
          <w:rFonts w:hint="eastAsia" w:ascii="仿宋_GB2312" w:hAnsi="仿宋_GB2312" w:eastAsia="仿宋_GB2312" w:cs="仿宋_GB2312"/>
          <w:color w:val="auto"/>
          <w:spacing w:val="-6"/>
          <w:sz w:val="32"/>
          <w:szCs w:val="22"/>
          <w:highlight w:val="none"/>
          <w:lang w:eastAsia="zh-CN"/>
        </w:rPr>
        <w:t>，</w:t>
      </w:r>
      <w:r>
        <w:rPr>
          <w:rFonts w:hint="eastAsia" w:ascii="仿宋_GB2312" w:hAnsi="仿宋_GB2312" w:eastAsia="仿宋_GB2312" w:cs="仿宋_GB2312"/>
          <w:color w:val="auto"/>
          <w:spacing w:val="-6"/>
          <w:sz w:val="32"/>
          <w:szCs w:val="22"/>
          <w:highlight w:val="none"/>
          <w:lang w:val="en-US" w:eastAsia="zh-CN"/>
        </w:rPr>
        <w:t>中山市板芙镇人民政府</w:t>
      </w:r>
      <w:r>
        <w:rPr>
          <w:rFonts w:hint="eastAsia" w:ascii="仿宋_GB2312" w:hAnsi="仿宋_GB2312" w:eastAsia="仿宋_GB2312" w:cs="仿宋_GB2312"/>
          <w:color w:val="auto"/>
          <w:spacing w:val="-6"/>
          <w:sz w:val="32"/>
          <w:szCs w:val="22"/>
          <w:highlight w:val="none"/>
          <w:lang w:eastAsia="zh-CN"/>
        </w:rPr>
        <w:t>已按照法律法规，就改造范围、土地现状、改造主体及拟改造情况及标准等事项征询原权利人改造</w:t>
      </w:r>
      <w:r>
        <w:rPr>
          <w:rFonts w:hint="eastAsia" w:ascii="仿宋_GB2312" w:hAnsi="仿宋_GB2312" w:eastAsia="仿宋_GB2312" w:cs="仿宋_GB2312"/>
          <w:color w:val="auto"/>
          <w:spacing w:val="-6"/>
          <w:sz w:val="32"/>
          <w:szCs w:val="22"/>
          <w:highlight w:val="none"/>
          <w:lang w:val="en-US" w:eastAsia="zh-CN"/>
        </w:rPr>
        <w:t>意愿</w:t>
      </w:r>
      <w:r>
        <w:rPr>
          <w:rFonts w:hint="eastAsia" w:ascii="仿宋_GB2312" w:hAnsi="仿宋_GB2312" w:eastAsia="仿宋_GB2312" w:cs="仿宋_GB2312"/>
          <w:color w:val="auto"/>
          <w:spacing w:val="-6"/>
          <w:sz w:val="32"/>
          <w:szCs w:val="22"/>
          <w:highlight w:val="none"/>
          <w:lang w:eastAsia="zh-CN"/>
        </w:rPr>
        <w:t>，经</w:t>
      </w:r>
      <w:r>
        <w:rPr>
          <w:rFonts w:hint="eastAsia" w:ascii="仿宋_GB2312" w:hAnsi="仿宋_GB2312" w:eastAsia="仿宋_GB2312" w:cs="仿宋_GB2312"/>
          <w:color w:val="auto"/>
          <w:spacing w:val="-6"/>
          <w:sz w:val="32"/>
          <w:szCs w:val="22"/>
          <w:highlight w:val="none"/>
          <w:lang w:val="en-US" w:eastAsia="zh-CN"/>
        </w:rPr>
        <w:t>权利人</w:t>
      </w:r>
      <w:r>
        <w:rPr>
          <w:rFonts w:hint="eastAsia" w:ascii="仿宋_GB2312" w:hAnsi="仿宋_GB2312" w:eastAsia="仿宋_GB2312" w:cs="仿宋_GB2312"/>
          <w:color w:val="auto"/>
          <w:spacing w:val="-6"/>
          <w:sz w:val="32"/>
          <w:szCs w:val="22"/>
          <w:highlight w:val="none"/>
          <w:lang w:eastAsia="zh-CN"/>
        </w:rPr>
        <w:t>同意，将涉及土地、房屋纳入改造范围。</w:t>
      </w:r>
    </w:p>
    <w:p>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leftChars="0" w:right="0" w:rightChars="0" w:firstLine="616" w:firstLineChars="200"/>
        <w:jc w:val="both"/>
        <w:outlineLvl w:val="0"/>
        <w:rPr>
          <w:rStyle w:val="11"/>
          <w:rFonts w:eastAsia="黑体"/>
          <w:spacing w:val="-6"/>
          <w:kern w:val="28"/>
          <w:sz w:val="32"/>
          <w:szCs w:val="32"/>
        </w:rPr>
      </w:pPr>
      <w:r>
        <w:rPr>
          <w:rStyle w:val="11"/>
          <w:rFonts w:eastAsia="黑体" w:asciiTheme="minorHAnsi" w:hAnsiTheme="minorHAnsi" w:cstheme="minorBidi"/>
          <w:spacing w:val="-6"/>
          <w:kern w:val="28"/>
          <w:sz w:val="32"/>
          <w:szCs w:val="32"/>
        </w:rPr>
        <w:t>改造主体及拟改造情况</w:t>
      </w:r>
    </w:p>
    <w:p>
      <w:pPr>
        <w:keepNext w:val="0"/>
        <w:keepLines w:val="0"/>
        <w:pageBreakBefore w:val="0"/>
        <w:numPr>
          <w:ilvl w:val="0"/>
          <w:numId w:val="0"/>
        </w:numPr>
        <w:kinsoku/>
        <w:wordWrap/>
        <w:overflowPunct/>
        <w:topLinePunct w:val="0"/>
        <w:autoSpaceDE/>
        <w:autoSpaceDN/>
        <w:bidi w:val="0"/>
        <w:adjustRightInd/>
        <w:snapToGrid/>
        <w:spacing w:line="574" w:lineRule="exact"/>
        <w:ind w:right="0" w:rightChars="0" w:firstLine="616" w:firstLineChars="0"/>
        <w:jc w:val="both"/>
        <w:outlineLvl w:val="9"/>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kern w:val="2"/>
          <w:sz w:val="32"/>
          <w:szCs w:val="22"/>
          <w:highlight w:val="none"/>
          <w:lang w:val="en-US" w:eastAsia="zh-CN" w:bidi="ar-SA"/>
        </w:rPr>
        <w:t>根据有关规划要求，改造项目严格按照</w:t>
      </w:r>
      <w:r>
        <w:rPr>
          <w:rFonts w:hint="eastAsia" w:ascii="仿宋_GB2312" w:hAnsi="仿宋_GB2312" w:eastAsia="仿宋_GB2312" w:cs="仿宋_GB2312"/>
          <w:color w:val="auto"/>
          <w:spacing w:val="-6"/>
          <w:kern w:val="2"/>
          <w:sz w:val="32"/>
          <w:szCs w:val="22"/>
          <w:highlight w:val="none"/>
          <w:u w:val="none"/>
          <w:lang w:val="en-US" w:eastAsia="zh-CN"/>
        </w:rPr>
        <w:t>国土空间总体规划</w:t>
      </w:r>
      <w:r>
        <w:rPr>
          <w:rFonts w:hint="eastAsia" w:ascii="仿宋_GB2312" w:hAnsi="仿宋_GB2312" w:eastAsia="仿宋_GB2312" w:cs="仿宋_GB2312"/>
          <w:color w:val="auto"/>
          <w:spacing w:val="-6"/>
          <w:kern w:val="2"/>
          <w:sz w:val="32"/>
          <w:szCs w:val="22"/>
          <w:highlight w:val="none"/>
          <w:lang w:val="en-US" w:eastAsia="zh-CN" w:bidi="ar-SA"/>
        </w:rPr>
        <w:t>、《中山市板芙镇工业用地规划条件论证》（</w:t>
      </w:r>
      <w:r>
        <w:rPr>
          <w:rFonts w:hint="eastAsia" w:ascii="仿宋_GB2312" w:hAnsi="仿宋_GB2312" w:eastAsia="仿宋_GB2312" w:cs="仿宋_GB2312"/>
          <w:bCs w:val="0"/>
          <w:color w:val="auto"/>
          <w:spacing w:val="-6"/>
          <w:kern w:val="2"/>
          <w:sz w:val="32"/>
          <w:szCs w:val="22"/>
          <w:highlight w:val="none"/>
          <w:lang w:val="en-US" w:eastAsia="zh-CN"/>
        </w:rPr>
        <w:t>中府函（2022）237号）</w:t>
      </w:r>
      <w:r>
        <w:rPr>
          <w:rFonts w:hint="eastAsia" w:ascii="仿宋_GB2312" w:hAnsi="仿宋_GB2312" w:eastAsia="仿宋_GB2312" w:cs="仿宋_GB2312"/>
          <w:color w:val="auto"/>
          <w:spacing w:val="-6"/>
          <w:kern w:val="2"/>
          <w:sz w:val="32"/>
          <w:szCs w:val="22"/>
          <w:highlight w:val="none"/>
          <w:lang w:val="en-US" w:eastAsia="zh-CN" w:bidi="ar-SA"/>
        </w:rPr>
        <w:t>管控要求实施建设。</w:t>
      </w:r>
    </w:p>
    <w:p>
      <w:pPr>
        <w:keepNext w:val="0"/>
        <w:keepLines w:val="0"/>
        <w:pageBreakBefore w:val="0"/>
        <w:numPr>
          <w:ilvl w:val="0"/>
          <w:numId w:val="0"/>
        </w:numPr>
        <w:kinsoku/>
        <w:wordWrap/>
        <w:overflowPunct/>
        <w:topLinePunct w:val="0"/>
        <w:autoSpaceDE/>
        <w:autoSpaceDN/>
        <w:bidi w:val="0"/>
        <w:adjustRightInd/>
        <w:snapToGrid/>
        <w:spacing w:line="574" w:lineRule="exact"/>
        <w:ind w:right="0" w:rightChars="0" w:firstLine="616" w:firstLineChars="0"/>
        <w:jc w:val="both"/>
        <w:outlineLvl w:val="9"/>
        <w:rPr>
          <w:rFonts w:hint="eastAsia" w:ascii="仿宋_GB2312" w:hAnsi="仿宋_GB2312" w:eastAsia="仿宋_GB2312" w:cs="仿宋_GB2312"/>
          <w:color w:val="auto"/>
          <w:spacing w:val="-6"/>
          <w:kern w:val="2"/>
          <w:sz w:val="32"/>
          <w:szCs w:val="22"/>
          <w:highlight w:val="yellow"/>
          <w:lang w:val="en-US" w:eastAsia="zh-CN" w:bidi="ar-SA"/>
        </w:rPr>
      </w:pPr>
      <w:r>
        <w:rPr>
          <w:rFonts w:hint="eastAsia" w:ascii="仿宋_GB2312" w:hAnsi="仿宋_GB2312" w:eastAsia="仿宋_GB2312" w:cs="仿宋_GB2312"/>
          <w:color w:val="auto"/>
          <w:spacing w:val="-6"/>
          <w:kern w:val="2"/>
          <w:sz w:val="32"/>
          <w:szCs w:val="22"/>
          <w:highlight w:val="none"/>
          <w:lang w:val="en-US" w:eastAsia="zh-CN" w:bidi="ar-SA"/>
        </w:rPr>
        <w:t>该改造项目属“工改工”宗地项目，拟采取权利人自主改造方式，由土地权利人将土地转移登记至其成立的中山市泓正环保科技有限公司名下，并由中山市泓正环保科技有限公司作为改造主体实施局部改造。</w:t>
      </w:r>
    </w:p>
    <w:p>
      <w:pPr>
        <w:ind w:firstLine="616" w:firstLineChars="200"/>
        <w:jc w:val="both"/>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kern w:val="2"/>
          <w:sz w:val="32"/>
          <w:szCs w:val="22"/>
          <w:highlight w:val="none"/>
          <w:lang w:val="en-US" w:eastAsia="zh-CN"/>
        </w:rPr>
        <w:t>改造后将用于工业用途，引入塑料制品业，在符合经批复规划条件论证的基础上，容积率不小于3.0，总建筑面积不少于57579.00平方米（无不计容建筑面积），其中新建建筑面积约46659.00平方米，保留建筑面积共10920平方米，</w:t>
      </w:r>
      <w:r>
        <w:rPr>
          <w:rFonts w:hint="eastAsia" w:ascii="仿宋_GB2312" w:hAnsi="仿宋_GB2312" w:eastAsia="仿宋_GB2312" w:cs="仿宋_GB2312"/>
          <w:color w:val="auto"/>
          <w:spacing w:val="-6"/>
          <w:sz w:val="32"/>
          <w:szCs w:val="22"/>
          <w:highlight w:val="none"/>
          <w:lang w:val="en-US" w:eastAsia="zh-CN"/>
        </w:rPr>
        <w:t>保留的建筑物均有合法报建手续，其中地块一保留1幢建筑物4497.50平方米，地块二保留3幢建筑物共6422.50平方米。</w:t>
      </w:r>
    </w:p>
    <w:p>
      <w:pPr>
        <w:ind w:firstLine="616" w:firstLineChars="200"/>
        <w:jc w:val="center"/>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sz w:val="32"/>
          <w:szCs w:val="22"/>
          <w:highlight w:val="none"/>
          <w:lang w:val="en-US" w:eastAsia="zh-CN"/>
        </w:rPr>
        <w:drawing>
          <wp:inline distT="0" distB="0" distL="114300" distR="114300">
            <wp:extent cx="3255645" cy="2604135"/>
            <wp:effectExtent l="0" t="0" r="1905" b="5715"/>
            <wp:docPr id="2" name="图片 2" descr="C:/Users/pc001/Desktop/AB-02总图_t3-Model.jpgAB-02总图_t3-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pc001/Desktop/AB-02总图_t3-Model.jpgAB-02总图_t3-Model"/>
                    <pic:cNvPicPr>
                      <a:picLocks noChangeAspect="1"/>
                    </pic:cNvPicPr>
                  </pic:nvPicPr>
                  <pic:blipFill>
                    <a:blip r:embed="rId6"/>
                    <a:srcRect t="10" b="10"/>
                    <a:stretch>
                      <a:fillRect/>
                    </a:stretch>
                  </pic:blipFill>
                  <pic:spPr>
                    <a:xfrm>
                      <a:off x="0" y="0"/>
                      <a:ext cx="3255645" cy="2604135"/>
                    </a:xfrm>
                    <a:prstGeom prst="rect">
                      <a:avLst/>
                    </a:prstGeom>
                  </pic:spPr>
                </pic:pic>
              </a:graphicData>
            </a:graphic>
          </wp:inline>
        </w:drawing>
      </w:r>
    </w:p>
    <w:p>
      <w:pPr>
        <w:ind w:firstLine="616" w:firstLineChars="200"/>
        <w:jc w:val="both"/>
        <w:rPr>
          <w:rFonts w:hint="eastAsia" w:ascii="仿宋_GB2312" w:hAnsi="仿宋_GB2312" w:eastAsia="仿宋_GB2312" w:cs="仿宋_GB2312"/>
          <w:color w:val="auto"/>
          <w:spacing w:val="-6"/>
          <w:sz w:val="32"/>
          <w:szCs w:val="22"/>
          <w:highlight w:val="none"/>
        </w:rPr>
      </w:pPr>
      <w:r>
        <w:rPr>
          <w:rFonts w:hint="eastAsia" w:ascii="仿宋_GB2312" w:hAnsi="仿宋_GB2312" w:eastAsia="仿宋_GB2312" w:cs="仿宋_GB2312"/>
          <w:color w:val="auto"/>
          <w:spacing w:val="-6"/>
          <w:sz w:val="32"/>
          <w:szCs w:val="22"/>
          <w:highlight w:val="none"/>
          <w:lang w:val="en-US" w:eastAsia="zh-CN"/>
        </w:rPr>
        <w:t>改造后涉及分割销售，</w:t>
      </w:r>
      <w:r>
        <w:rPr>
          <w:rFonts w:hint="eastAsia" w:ascii="仿宋_GB2312" w:hAnsi="仿宋_GB2312" w:eastAsia="仿宋_GB2312" w:cs="仿宋_GB2312"/>
          <w:color w:val="auto"/>
          <w:spacing w:val="-6"/>
          <w:sz w:val="32"/>
          <w:szCs w:val="22"/>
          <w:highlight w:val="none"/>
        </w:rPr>
        <w:t>产权人自持比例不得小于确权登记的</w:t>
      </w:r>
      <w:r>
        <w:rPr>
          <w:rFonts w:hint="eastAsia" w:ascii="仿宋_GB2312" w:hAnsi="仿宋_GB2312" w:eastAsia="仿宋_GB2312" w:cs="仿宋_GB2312"/>
          <w:color w:val="auto"/>
          <w:spacing w:val="-6"/>
          <w:sz w:val="32"/>
          <w:szCs w:val="22"/>
          <w:highlight w:val="none"/>
          <w:lang w:val="en-US" w:eastAsia="zh-CN"/>
        </w:rPr>
        <w:t>新建</w:t>
      </w:r>
      <w:r>
        <w:rPr>
          <w:rFonts w:hint="eastAsia" w:ascii="仿宋_GB2312" w:hAnsi="仿宋_GB2312" w:eastAsia="仿宋_GB2312" w:cs="仿宋_GB2312"/>
          <w:color w:val="auto"/>
          <w:spacing w:val="-6"/>
          <w:sz w:val="32"/>
          <w:szCs w:val="22"/>
          <w:highlight w:val="none"/>
        </w:rPr>
        <w:t>总建筑面积51%，自办理不动产（房产）登记之日起自持不少于15年。对引进优质产业项目的，经市招商引资领导小组研究确定，并与</w:t>
      </w:r>
      <w:r>
        <w:rPr>
          <w:rFonts w:hint="eastAsia" w:ascii="仿宋_GB2312" w:hAnsi="仿宋_GB2312" w:eastAsia="仿宋_GB2312" w:cs="仿宋_GB2312"/>
          <w:color w:val="auto"/>
          <w:spacing w:val="-6"/>
          <w:sz w:val="32"/>
          <w:szCs w:val="22"/>
          <w:highlight w:val="none"/>
          <w:lang w:val="en-US" w:eastAsia="zh-CN"/>
        </w:rPr>
        <w:t>板芙</w:t>
      </w:r>
      <w:r>
        <w:rPr>
          <w:rFonts w:hint="eastAsia" w:ascii="仿宋_GB2312" w:hAnsi="仿宋_GB2312" w:eastAsia="仿宋_GB2312" w:cs="仿宋_GB2312"/>
          <w:color w:val="auto"/>
          <w:spacing w:val="-6"/>
          <w:sz w:val="32"/>
          <w:szCs w:val="22"/>
          <w:highlight w:val="none"/>
        </w:rPr>
        <w:t>镇</w:t>
      </w:r>
      <w:r>
        <w:rPr>
          <w:rFonts w:hint="eastAsia" w:ascii="仿宋_GB2312" w:hAnsi="仿宋_GB2312" w:eastAsia="仿宋_GB2312" w:cs="仿宋_GB2312"/>
          <w:color w:val="auto"/>
          <w:spacing w:val="-6"/>
          <w:sz w:val="32"/>
          <w:szCs w:val="22"/>
          <w:highlight w:val="none"/>
          <w:lang w:val="en-US" w:eastAsia="zh-CN"/>
        </w:rPr>
        <w:t>人民政府</w:t>
      </w:r>
      <w:r>
        <w:rPr>
          <w:rFonts w:hint="eastAsia" w:ascii="仿宋_GB2312" w:hAnsi="仿宋_GB2312" w:eastAsia="仿宋_GB2312" w:cs="仿宋_GB2312"/>
          <w:color w:val="auto"/>
          <w:spacing w:val="-6"/>
          <w:sz w:val="32"/>
          <w:szCs w:val="22"/>
          <w:highlight w:val="none"/>
        </w:rPr>
        <w:t>签订监管协议的，可降低自持比例最低至20%。</w:t>
      </w:r>
    </w:p>
    <w:p>
      <w:pPr>
        <w:keepNext w:val="0"/>
        <w:keepLines w:val="0"/>
        <w:pageBreakBefore w:val="0"/>
        <w:numPr>
          <w:ilvl w:val="0"/>
          <w:numId w:val="0"/>
        </w:numPr>
        <w:kinsoku/>
        <w:wordWrap/>
        <w:overflowPunct/>
        <w:topLinePunct w:val="0"/>
        <w:autoSpaceDE/>
        <w:autoSpaceDN/>
        <w:bidi w:val="0"/>
        <w:adjustRightInd/>
        <w:snapToGrid/>
        <w:spacing w:line="574" w:lineRule="exact"/>
        <w:ind w:right="0" w:rightChars="0" w:firstLine="616" w:firstLineChars="0"/>
        <w:jc w:val="both"/>
        <w:outlineLvl w:val="9"/>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kern w:val="2"/>
          <w:sz w:val="32"/>
          <w:szCs w:val="22"/>
          <w:highlight w:val="none"/>
          <w:lang w:val="en-US" w:eastAsia="zh-CN" w:bidi="ar-SA"/>
        </w:rPr>
        <w:t>项目相关情况符合</w:t>
      </w:r>
      <w:r>
        <w:rPr>
          <w:rFonts w:hint="eastAsia" w:ascii="仿宋_GB2312" w:hAnsi="仿宋_GB2312" w:eastAsia="仿宋_GB2312" w:cs="仿宋_GB2312"/>
          <w:b w:val="0"/>
          <w:i w:val="0"/>
          <w:iCs w:val="0"/>
          <w:caps w:val="0"/>
          <w:color w:val="auto"/>
          <w:spacing w:val="-6"/>
          <w:kern w:val="2"/>
          <w:sz w:val="32"/>
          <w:szCs w:val="22"/>
          <w:highlight w:val="none"/>
          <w:u w:val="none"/>
          <w:shd w:val="clear"/>
          <w:lang w:val="en-US" w:eastAsia="zh-CN"/>
        </w:rPr>
        <w:t>《</w:t>
      </w:r>
      <w:r>
        <w:rPr>
          <w:rFonts w:hint="eastAsia" w:ascii="仿宋_GB2312" w:hAnsi="仿宋_GB2312" w:eastAsia="仿宋_GB2312" w:cs="仿宋_GB2312"/>
          <w:color w:val="auto"/>
          <w:spacing w:val="-6"/>
          <w:kern w:val="2"/>
          <w:sz w:val="32"/>
          <w:szCs w:val="22"/>
          <w:highlight w:val="none"/>
        </w:rPr>
        <w:t>《产业结构调整指导目录》《中山市“三线一单”生态环境分区管控方案》《中山市涉挥发性有机物项目环保管理规定》相关规定。</w:t>
      </w:r>
      <w:r>
        <w:rPr>
          <w:rFonts w:hint="eastAsia" w:ascii="仿宋_GB2312" w:hAnsi="仿宋_GB2312" w:eastAsia="仿宋_GB2312" w:cs="仿宋_GB2312"/>
          <w:color w:val="auto"/>
          <w:spacing w:val="-6"/>
          <w:kern w:val="2"/>
          <w:sz w:val="32"/>
          <w:szCs w:val="22"/>
          <w:highlight w:val="none"/>
          <w:lang w:val="en-US" w:eastAsia="zh-CN" w:bidi="ar-SA"/>
        </w:rPr>
        <w:t>改造后预计</w:t>
      </w:r>
      <w:r>
        <w:rPr>
          <w:rFonts w:hint="eastAsia" w:ascii="仿宋_GB2312" w:hAnsi="仿宋_GB2312" w:eastAsia="仿宋_GB2312" w:cs="仿宋_GB2312"/>
          <w:color w:val="auto"/>
          <w:spacing w:val="-6"/>
          <w:sz w:val="32"/>
          <w:szCs w:val="22"/>
          <w:highlight w:val="none"/>
          <w:lang w:val="en"/>
        </w:rPr>
        <w:t>年产值</w:t>
      </w:r>
      <w:r>
        <w:rPr>
          <w:rFonts w:hint="eastAsia" w:ascii="仿宋_GB2312" w:hAnsi="仿宋_GB2312" w:eastAsia="仿宋_GB2312" w:cs="仿宋_GB2312"/>
          <w:color w:val="auto"/>
          <w:spacing w:val="-6"/>
          <w:sz w:val="32"/>
          <w:szCs w:val="22"/>
          <w:highlight w:val="none"/>
          <w:lang w:val="en-US" w:eastAsia="zh-CN"/>
        </w:rPr>
        <w:t>达17238万元（即600万元/亩）</w:t>
      </w:r>
      <w:r>
        <w:rPr>
          <w:rFonts w:hint="eastAsia" w:ascii="仿宋_GB2312" w:hAnsi="仿宋_GB2312" w:eastAsia="仿宋_GB2312" w:cs="仿宋_GB2312"/>
          <w:color w:val="auto"/>
          <w:spacing w:val="-6"/>
          <w:sz w:val="32"/>
          <w:szCs w:val="22"/>
          <w:highlight w:val="none"/>
          <w:lang w:val="en"/>
        </w:rPr>
        <w:t>，年税收</w:t>
      </w:r>
      <w:r>
        <w:rPr>
          <w:rFonts w:hint="eastAsia" w:ascii="仿宋_GB2312" w:hAnsi="仿宋_GB2312" w:eastAsia="仿宋_GB2312" w:cs="仿宋_GB2312"/>
          <w:color w:val="auto"/>
          <w:spacing w:val="-6"/>
          <w:sz w:val="32"/>
          <w:szCs w:val="22"/>
          <w:highlight w:val="none"/>
          <w:lang w:val="en-US" w:eastAsia="zh-CN"/>
        </w:rPr>
        <w:t>约861.9万元（即30万元/亩）。</w:t>
      </w:r>
    </w:p>
    <w:p>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right="0" w:rightChars="0" w:firstLine="616" w:firstLineChars="200"/>
        <w:jc w:val="both"/>
        <w:outlineLvl w:val="0"/>
        <w:rPr>
          <w:rStyle w:val="11"/>
          <w:rFonts w:eastAsia="黑体"/>
          <w:spacing w:val="-6"/>
          <w:kern w:val="28"/>
          <w:sz w:val="32"/>
          <w:szCs w:val="32"/>
        </w:rPr>
      </w:pPr>
      <w:r>
        <w:rPr>
          <w:rStyle w:val="11"/>
          <w:rFonts w:eastAsia="黑体" w:asciiTheme="minorHAnsi" w:hAnsiTheme="minorHAnsi" w:cstheme="minorBidi"/>
          <w:spacing w:val="-6"/>
          <w:kern w:val="28"/>
          <w:sz w:val="32"/>
          <w:szCs w:val="32"/>
        </w:rPr>
        <w:t>需办理的用地手续</w:t>
      </w:r>
    </w:p>
    <w:p>
      <w:pPr>
        <w:numPr>
          <w:ilvl w:val="0"/>
          <w:numId w:val="4"/>
        </w:numPr>
        <w:wordWrap/>
        <w:adjustRightInd w:val="0"/>
        <w:snapToGrid w:val="0"/>
        <w:spacing w:beforeLines="0" w:afterLines="0" w:line="574" w:lineRule="exact"/>
        <w:ind w:firstLine="616" w:firstLineChars="200"/>
        <w:jc w:val="both"/>
        <w:rPr>
          <w:rFonts w:hint="eastAsia" w:ascii="楷体" w:hAnsi="楷体" w:eastAsia="楷体" w:cs="楷体"/>
          <w:color w:val="000000"/>
          <w:spacing w:val="-6"/>
          <w:kern w:val="0"/>
          <w:sz w:val="32"/>
          <w:szCs w:val="32"/>
          <w:highlight w:val="none"/>
          <w:lang w:val="en-US" w:eastAsia="zh-CN" w:bidi="ar-SA"/>
        </w:rPr>
      </w:pPr>
      <w:r>
        <w:rPr>
          <w:rFonts w:hint="eastAsia" w:ascii="楷体" w:hAnsi="楷体" w:eastAsia="楷体" w:cs="楷体"/>
          <w:color w:val="000000"/>
          <w:spacing w:val="-6"/>
          <w:kern w:val="0"/>
          <w:sz w:val="32"/>
          <w:szCs w:val="32"/>
          <w:highlight w:val="none"/>
          <w:lang w:val="en-US" w:eastAsia="zh-CN" w:bidi="ar-SA"/>
        </w:rPr>
        <w:t>完善国有农用地转用手续</w:t>
      </w:r>
    </w:p>
    <w:p>
      <w:pPr>
        <w:numPr>
          <w:ilvl w:val="-1"/>
          <w:numId w:val="0"/>
        </w:numPr>
        <w:wordWrap/>
        <w:adjustRightInd w:val="0"/>
        <w:snapToGrid w:val="0"/>
        <w:spacing w:beforeLines="0" w:afterLines="0" w:line="574" w:lineRule="exact"/>
        <w:ind w:firstLine="616" w:firstLineChars="200"/>
        <w:jc w:val="both"/>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kern w:val="2"/>
          <w:sz w:val="32"/>
          <w:szCs w:val="22"/>
          <w:highlight w:val="none"/>
          <w:lang w:val="en-US" w:eastAsia="zh-CN" w:bidi="ar-SA"/>
        </w:rPr>
        <w:t>地块三</w:t>
      </w:r>
      <w:r>
        <w:rPr>
          <w:rFonts w:hint="eastAsia" w:ascii="仿宋_GB2312" w:hAnsi="仿宋_GB2312" w:eastAsia="仿宋_GB2312" w:cs="仿宋_GB2312"/>
          <w:color w:val="auto"/>
          <w:spacing w:val="-6"/>
          <w:sz w:val="32"/>
          <w:szCs w:val="22"/>
          <w:highlight w:val="none"/>
          <w:lang w:val="en-US" w:eastAsia="zh-CN"/>
        </w:rPr>
        <w:t>0.0047公顷（47.43平方米，折合0.07亩）</w:t>
      </w:r>
      <w:r>
        <w:rPr>
          <w:rFonts w:hint="eastAsia" w:ascii="仿宋_GB2312" w:hAnsi="仿宋_GB2312" w:eastAsia="仿宋_GB2312" w:cs="仿宋_GB2312"/>
          <w:color w:val="auto"/>
          <w:spacing w:val="-6"/>
          <w:sz w:val="32"/>
          <w:szCs w:val="22"/>
          <w:highlight w:val="none"/>
        </w:rPr>
        <w:t>属纳入“三旧”改造范围整体利用的“三地”，</w:t>
      </w:r>
      <w:r>
        <w:rPr>
          <w:rFonts w:hint="eastAsia" w:ascii="仿宋_GB2312" w:hAnsi="仿宋_GB2312" w:eastAsia="仿宋_GB2312" w:cs="仿宋_GB2312"/>
          <w:color w:val="auto"/>
          <w:spacing w:val="-6"/>
          <w:kern w:val="2"/>
          <w:sz w:val="32"/>
          <w:szCs w:val="22"/>
          <w:highlight w:val="none"/>
          <w:lang w:val="en-US" w:eastAsia="zh-CN" w:bidi="ar-SA"/>
        </w:rPr>
        <w:t>已办理国有所有权确权手续，拟</w:t>
      </w:r>
      <w:r>
        <w:rPr>
          <w:rFonts w:hint="eastAsia" w:ascii="仿宋_GB2312" w:hAnsi="仿宋_GB2312" w:eastAsia="仿宋_GB2312" w:cs="仿宋_GB2312"/>
          <w:color w:val="auto"/>
          <w:spacing w:val="-6"/>
          <w:sz w:val="32"/>
          <w:szCs w:val="22"/>
          <w:highlight w:val="none"/>
          <w:u w:val="none"/>
          <w:lang w:val="en-US" w:eastAsia="zh-CN"/>
        </w:rPr>
        <w:t>办理</w:t>
      </w:r>
      <w:r>
        <w:rPr>
          <w:rFonts w:hint="eastAsia" w:ascii="仿宋_GB2312" w:hAnsi="仿宋_GB2312" w:eastAsia="仿宋_GB2312" w:cs="仿宋_GB2312"/>
          <w:color w:val="auto"/>
          <w:spacing w:val="-6"/>
          <w:sz w:val="32"/>
          <w:szCs w:val="22"/>
          <w:highlight w:val="none"/>
          <w:lang w:eastAsia="zh-CN"/>
        </w:rPr>
        <w:t>国有农用地完善转用手续</w:t>
      </w:r>
      <w:r>
        <w:rPr>
          <w:rFonts w:hint="eastAsia" w:ascii="仿宋_GB2312" w:hAnsi="仿宋_GB2312" w:eastAsia="仿宋_GB2312" w:cs="仿宋_GB2312"/>
          <w:color w:val="auto"/>
          <w:spacing w:val="-6"/>
          <w:kern w:val="2"/>
          <w:sz w:val="32"/>
          <w:szCs w:val="22"/>
          <w:highlight w:val="none"/>
          <w:lang w:val="en-US" w:eastAsia="zh-CN" w:bidi="ar-SA"/>
        </w:rPr>
        <w:t>。</w:t>
      </w:r>
      <w:r>
        <w:rPr>
          <w:rFonts w:hint="eastAsia" w:ascii="仿宋_GB2312" w:hAnsi="仿宋_GB2312" w:eastAsia="仿宋_GB2312" w:cs="仿宋_GB2312"/>
          <w:spacing w:val="0"/>
          <w:sz w:val="32"/>
          <w:szCs w:val="22"/>
        </w:rPr>
        <w:t>（具体土地面积以办理用地手续时的测量图纸为准）</w:t>
      </w:r>
    </w:p>
    <w:p>
      <w:pPr>
        <w:numPr>
          <w:ilvl w:val="-1"/>
          <w:numId w:val="0"/>
        </w:numPr>
        <w:wordWrap/>
        <w:adjustRightInd w:val="0"/>
        <w:snapToGrid w:val="0"/>
        <w:spacing w:beforeLines="0" w:afterLines="0" w:line="574" w:lineRule="exact"/>
        <w:ind w:firstLine="616" w:firstLineChars="200"/>
        <w:jc w:val="both"/>
        <w:rPr>
          <w:rFonts w:hint="eastAsia" w:ascii="楷体" w:hAnsi="楷体" w:eastAsia="楷体" w:cs="楷体"/>
          <w:color w:val="000000"/>
          <w:spacing w:val="-6"/>
          <w:kern w:val="0"/>
          <w:sz w:val="32"/>
          <w:szCs w:val="32"/>
          <w:lang w:val="en-US" w:eastAsia="zh-CN" w:bidi="ar-SA"/>
        </w:rPr>
      </w:pPr>
      <w:r>
        <w:rPr>
          <w:rFonts w:hint="eastAsia" w:ascii="楷体" w:hAnsi="楷体" w:eastAsia="楷体" w:cs="楷体"/>
          <w:color w:val="000000"/>
          <w:spacing w:val="-6"/>
          <w:kern w:val="0"/>
          <w:sz w:val="32"/>
          <w:szCs w:val="32"/>
          <w:lang w:val="en-US" w:eastAsia="zh-CN" w:bidi="ar-SA"/>
        </w:rPr>
        <w:t>（二）办理土地供应及不动产登记</w:t>
      </w:r>
    </w:p>
    <w:p>
      <w:pPr>
        <w:widowControl/>
        <w:wordWrap/>
        <w:ind w:firstLine="616" w:firstLineChars="200"/>
        <w:jc w:val="both"/>
        <w:rPr>
          <w:rFonts w:hint="eastAsia" w:ascii="仿宋_GB2312" w:hAnsi="仿宋_GB2312" w:eastAsia="仿宋_GB2312" w:cs="仿宋_GB2312"/>
          <w:color w:val="auto"/>
          <w:spacing w:val="-6"/>
          <w:kern w:val="2"/>
          <w:sz w:val="32"/>
          <w:szCs w:val="22"/>
          <w:highlight w:val="none"/>
          <w:u w:val="none"/>
          <w:lang w:val="en-US" w:eastAsia="zh-CN" w:bidi="ar-SA"/>
        </w:rPr>
      </w:pPr>
      <w:r>
        <w:rPr>
          <w:rFonts w:hint="eastAsia" w:ascii="仿宋_GB2312" w:hAnsi="仿宋_GB2312" w:eastAsia="仿宋_GB2312" w:cs="仿宋_GB2312"/>
          <w:color w:val="auto"/>
          <w:spacing w:val="-6"/>
          <w:kern w:val="2"/>
          <w:sz w:val="32"/>
          <w:szCs w:val="22"/>
          <w:highlight w:val="none"/>
          <w:u w:val="none"/>
          <w:lang w:val="en-US" w:eastAsia="zh-CN" w:bidi="ar-SA"/>
        </w:rPr>
        <w:t>1.土地供应。待完成上述转用手续后，地块三</w:t>
      </w:r>
      <w:r>
        <w:rPr>
          <w:rFonts w:hint="eastAsia" w:ascii="仿宋_GB2312" w:hAnsi="仿宋_GB2312" w:eastAsia="仿宋_GB2312" w:cs="仿宋_GB2312"/>
          <w:color w:val="auto"/>
          <w:spacing w:val="-6"/>
          <w:sz w:val="32"/>
          <w:szCs w:val="22"/>
          <w:highlight w:val="none"/>
          <w:u w:val="none"/>
        </w:rPr>
        <w:t>凭经批准的改造方案</w:t>
      </w:r>
      <w:r>
        <w:rPr>
          <w:rFonts w:hint="eastAsia" w:ascii="仿宋_GB2312" w:hAnsi="仿宋_GB2312" w:eastAsia="仿宋_GB2312" w:cs="仿宋_GB2312"/>
          <w:color w:val="auto"/>
          <w:spacing w:val="-6"/>
          <w:sz w:val="32"/>
          <w:szCs w:val="22"/>
          <w:highlight w:val="none"/>
          <w:u w:val="none"/>
          <w:lang w:val="en-US" w:eastAsia="zh-CN"/>
        </w:rPr>
        <w:t>协议出让到</w:t>
      </w:r>
      <w:r>
        <w:rPr>
          <w:rFonts w:hint="eastAsia" w:ascii="仿宋_GB2312" w:hAnsi="仿宋_GB2312" w:eastAsia="仿宋_GB2312" w:cs="仿宋_GB2312"/>
          <w:color w:val="auto"/>
          <w:spacing w:val="-6"/>
          <w:kern w:val="2"/>
          <w:sz w:val="32"/>
          <w:szCs w:val="22"/>
          <w:highlight w:val="none"/>
          <w:u w:val="none"/>
          <w:lang w:val="en-US" w:eastAsia="zh-CN" w:bidi="ar-SA"/>
        </w:rPr>
        <w:t>由刘广雄成立的全资子公司中山市泓正环保科技有限公司名下。</w:t>
      </w:r>
    </w:p>
    <w:p>
      <w:pPr>
        <w:widowControl/>
        <w:wordWrap/>
        <w:ind w:firstLine="616" w:firstLineChars="200"/>
        <w:jc w:val="both"/>
        <w:rPr>
          <w:rFonts w:hint="eastAsia" w:ascii="仿宋_GB2312" w:hAnsi="仿宋_GB2312" w:eastAsia="仿宋_GB2312" w:cs="仿宋_GB2312"/>
          <w:color w:val="auto"/>
          <w:spacing w:val="-6"/>
          <w:kern w:val="2"/>
          <w:sz w:val="32"/>
          <w:szCs w:val="22"/>
          <w:highlight w:val="none"/>
          <w:u w:val="none"/>
          <w:lang w:val="en-US" w:eastAsia="zh-CN" w:bidi="ar-SA"/>
        </w:rPr>
      </w:pPr>
      <w:r>
        <w:rPr>
          <w:rFonts w:hint="eastAsia" w:ascii="仿宋_GB2312" w:hAnsi="仿宋_GB2312" w:eastAsia="仿宋_GB2312" w:cs="仿宋_GB2312"/>
          <w:color w:val="auto"/>
          <w:spacing w:val="-6"/>
          <w:kern w:val="2"/>
          <w:sz w:val="32"/>
          <w:szCs w:val="22"/>
          <w:highlight w:val="none"/>
          <w:u w:val="none"/>
          <w:lang w:val="en-US" w:eastAsia="zh-CN" w:bidi="ar-SA"/>
        </w:rPr>
        <w:t>2.不动产登记。地块一和地块二</w:t>
      </w:r>
      <w:r>
        <w:rPr>
          <w:rFonts w:hint="eastAsia" w:ascii="仿宋_GB2312" w:hAnsi="仿宋_GB2312" w:eastAsia="仿宋_GB2312" w:cs="仿宋_GB2312"/>
          <w:color w:val="auto"/>
          <w:spacing w:val="-6"/>
          <w:sz w:val="32"/>
          <w:szCs w:val="22"/>
          <w:highlight w:val="none"/>
          <w:u w:val="none"/>
        </w:rPr>
        <w:t>凭经批准的改造方案</w:t>
      </w:r>
      <w:r>
        <w:rPr>
          <w:rFonts w:hint="eastAsia" w:ascii="仿宋_GB2312" w:hAnsi="仿宋_GB2312" w:eastAsia="仿宋_GB2312" w:cs="仿宋_GB2312"/>
          <w:color w:val="auto"/>
          <w:spacing w:val="-6"/>
          <w:sz w:val="32"/>
          <w:szCs w:val="22"/>
          <w:highlight w:val="none"/>
          <w:u w:val="none"/>
          <w:lang w:val="en-US" w:eastAsia="zh-CN"/>
        </w:rPr>
        <w:t>通过作价入股</w:t>
      </w:r>
      <w:r>
        <w:rPr>
          <w:rFonts w:hint="eastAsia" w:ascii="仿宋_GB2312" w:hAnsi="仿宋_GB2312" w:eastAsia="仿宋_GB2312" w:cs="仿宋_GB2312"/>
          <w:color w:val="auto"/>
          <w:spacing w:val="-6"/>
          <w:kern w:val="2"/>
          <w:sz w:val="32"/>
          <w:szCs w:val="22"/>
          <w:highlight w:val="none"/>
          <w:u w:val="none"/>
          <w:lang w:val="en-US" w:eastAsia="zh-CN" w:bidi="ar-SA"/>
        </w:rPr>
        <w:t>方式转移登记到中山市泓正环保科技有限公司名下，最后将上述3宗土地合并成为1宗土地后实施建设开发。</w:t>
      </w:r>
    </w:p>
    <w:p>
      <w:pPr>
        <w:widowControl/>
        <w:wordWrap/>
        <w:ind w:firstLine="616" w:firstLineChars="200"/>
        <w:jc w:val="both"/>
        <w:rPr>
          <w:rFonts w:hint="eastAsia" w:ascii="仿宋_GB2312" w:hAnsi="仿宋_GB2312" w:eastAsia="仿宋_GB2312" w:cs="仿宋_GB2312"/>
          <w:color w:val="auto"/>
          <w:spacing w:val="-6"/>
          <w:kern w:val="2"/>
          <w:sz w:val="32"/>
          <w:szCs w:val="22"/>
          <w:highlight w:val="none"/>
          <w:u w:val="none"/>
          <w:lang w:val="en-US" w:eastAsia="zh-CN" w:bidi="ar-SA"/>
        </w:rPr>
      </w:pPr>
      <w:r>
        <w:rPr>
          <w:rFonts w:hint="eastAsia" w:ascii="仿宋_GB2312" w:hAnsi="仿宋_GB2312" w:eastAsia="仿宋_GB2312" w:cs="仿宋_GB2312"/>
          <w:color w:val="auto"/>
          <w:spacing w:val="-6"/>
          <w:kern w:val="2"/>
          <w:sz w:val="32"/>
          <w:szCs w:val="22"/>
          <w:highlight w:val="none"/>
          <w:u w:val="none"/>
          <w:lang w:val="en-US" w:eastAsia="zh-CN" w:bidi="ar-SA"/>
        </w:rPr>
        <w:t>根据</w:t>
      </w:r>
      <w:r>
        <w:rPr>
          <w:rFonts w:hint="eastAsia" w:ascii="仿宋_GB2312" w:hAnsi="仿宋_GB2312" w:eastAsia="仿宋_GB2312" w:cs="仿宋_GB2312"/>
          <w:color w:val="auto"/>
          <w:spacing w:val="-6"/>
          <w:sz w:val="32"/>
          <w:szCs w:val="22"/>
          <w:highlight w:val="none"/>
          <w:u w:val="none"/>
          <w:shd w:val="clear" w:color="auto" w:fill="auto"/>
        </w:rPr>
        <w:t>《关于明确国有建设用地使用权转让开发投资进度核算有关事项的补充通知》（中山自然资利用〔2022〕192号）等法律法规及政策规定，</w:t>
      </w:r>
      <w:r>
        <w:rPr>
          <w:rFonts w:hint="eastAsia" w:ascii="仿宋_GB2312" w:hAnsi="仿宋_GB2312" w:eastAsia="仿宋_GB2312" w:cs="仿宋_GB2312"/>
          <w:color w:val="auto"/>
          <w:spacing w:val="-6"/>
          <w:kern w:val="2"/>
          <w:sz w:val="32"/>
          <w:szCs w:val="22"/>
          <w:highlight w:val="none"/>
          <w:u w:val="none"/>
          <w:lang w:val="en-US" w:eastAsia="zh-CN" w:bidi="ar-SA"/>
        </w:rPr>
        <w:t>中山市泓正环保科技有限公司作为刘广雄的全资子公司，</w:t>
      </w:r>
      <w:r>
        <w:rPr>
          <w:rFonts w:hint="eastAsia" w:ascii="仿宋_GB2312" w:hAnsi="仿宋_GB2312" w:eastAsia="仿宋_GB2312" w:cs="仿宋_GB2312"/>
          <w:color w:val="auto"/>
          <w:spacing w:val="-6"/>
          <w:sz w:val="32"/>
          <w:szCs w:val="22"/>
          <w:highlight w:val="none"/>
          <w:u w:val="none"/>
          <w:shd w:val="clear" w:color="auto" w:fill="auto"/>
          <w:lang w:eastAsia="zh-CN"/>
        </w:rPr>
        <w:t>该项目</w:t>
      </w:r>
      <w:r>
        <w:rPr>
          <w:rFonts w:hint="eastAsia" w:ascii="仿宋_GB2312" w:hAnsi="仿宋_GB2312" w:eastAsia="仿宋_GB2312" w:cs="仿宋_GB2312"/>
          <w:color w:val="auto"/>
          <w:spacing w:val="-6"/>
          <w:sz w:val="32"/>
          <w:szCs w:val="22"/>
          <w:highlight w:val="none"/>
          <w:u w:val="none"/>
          <w:shd w:val="clear"/>
        </w:rPr>
        <w:t>土地使用权转让不再审核土地开发投资进度</w:t>
      </w:r>
      <w:r>
        <w:rPr>
          <w:rFonts w:hint="eastAsia" w:ascii="仿宋_GB2312" w:hAnsi="仿宋_GB2312" w:eastAsia="仿宋_GB2312" w:cs="仿宋_GB2312"/>
          <w:color w:val="auto"/>
          <w:spacing w:val="-6"/>
          <w:kern w:val="2"/>
          <w:sz w:val="32"/>
          <w:szCs w:val="22"/>
          <w:highlight w:val="none"/>
          <w:u w:val="none"/>
          <w:lang w:val="en-US" w:eastAsia="zh-CN" w:bidi="ar-SA"/>
        </w:rPr>
        <w:t>。</w:t>
      </w:r>
    </w:p>
    <w:p>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leftChars="0" w:right="0" w:rightChars="0" w:firstLine="616" w:firstLineChars="200"/>
        <w:jc w:val="both"/>
        <w:outlineLvl w:val="0"/>
        <w:rPr>
          <w:rStyle w:val="11"/>
          <w:rFonts w:eastAsia="黑体"/>
          <w:spacing w:val="-6"/>
          <w:kern w:val="28"/>
          <w:sz w:val="32"/>
          <w:szCs w:val="32"/>
        </w:rPr>
      </w:pPr>
      <w:r>
        <w:rPr>
          <w:rStyle w:val="11"/>
          <w:rFonts w:eastAsia="黑体" w:asciiTheme="minorHAnsi" w:hAnsiTheme="minorHAnsi" w:cstheme="minorBidi"/>
          <w:spacing w:val="-6"/>
          <w:kern w:val="28"/>
          <w:sz w:val="32"/>
          <w:szCs w:val="32"/>
        </w:rPr>
        <w:t>资金筹措</w:t>
      </w:r>
    </w:p>
    <w:p>
      <w:pPr>
        <w:keepNext w:val="0"/>
        <w:keepLines w:val="0"/>
        <w:pageBreakBefore w:val="0"/>
        <w:widowControl/>
        <w:kinsoku/>
        <w:wordWrap/>
        <w:overflowPunct/>
        <w:topLinePunct w:val="0"/>
        <w:autoSpaceDE/>
        <w:autoSpaceDN/>
        <w:bidi w:val="0"/>
        <w:adjustRightInd/>
        <w:snapToGrid/>
        <w:spacing w:line="574" w:lineRule="exact"/>
        <w:ind w:right="0" w:rightChars="0" w:firstLine="616" w:firstLineChars="200"/>
        <w:jc w:val="both"/>
        <w:rPr>
          <w:rFonts w:hint="eastAsia" w:ascii="仿宋_GB2312" w:hAnsi="仿宋_GB2312" w:eastAsia="仿宋_GB2312" w:cs="仿宋_GB2312"/>
          <w:color w:val="auto"/>
          <w:spacing w:val="-6"/>
          <w:kern w:val="2"/>
          <w:sz w:val="32"/>
          <w:szCs w:val="22"/>
          <w:highlight w:val="none"/>
          <w:lang w:eastAsia="zh-CN"/>
        </w:rPr>
      </w:pPr>
      <w:r>
        <w:rPr>
          <w:rFonts w:hint="eastAsia" w:ascii="仿宋_GB2312" w:hAnsi="仿宋_GB2312" w:eastAsia="仿宋_GB2312" w:cs="仿宋_GB2312"/>
          <w:color w:val="auto"/>
          <w:spacing w:val="-6"/>
          <w:kern w:val="2"/>
          <w:sz w:val="32"/>
          <w:szCs w:val="22"/>
          <w:highlight w:val="none"/>
          <w:lang w:val="en-US" w:eastAsia="zh-CN" w:bidi="ar-SA"/>
        </w:rPr>
        <w:t>改造项目拟</w:t>
      </w:r>
      <w:r>
        <w:rPr>
          <w:rFonts w:hint="eastAsia" w:ascii="仿宋_GB2312" w:hAnsi="仿宋_GB2312" w:eastAsia="仿宋_GB2312" w:cs="仿宋_GB2312"/>
          <w:color w:val="auto"/>
          <w:spacing w:val="-6"/>
          <w:kern w:val="2"/>
          <w:sz w:val="32"/>
          <w:szCs w:val="22"/>
          <w:highlight w:val="none"/>
        </w:rPr>
        <w:t>由改造主体拟投入资金</w:t>
      </w:r>
      <w:r>
        <w:rPr>
          <w:rFonts w:hint="eastAsia" w:ascii="仿宋_GB2312" w:hAnsi="仿宋_GB2312" w:eastAsia="仿宋_GB2312" w:cs="仿宋_GB2312"/>
          <w:color w:val="auto"/>
          <w:spacing w:val="-6"/>
          <w:sz w:val="32"/>
          <w:szCs w:val="22"/>
          <w:highlight w:val="none"/>
          <w:lang w:val="en-US" w:eastAsia="zh-CN"/>
        </w:rPr>
        <w:t>17238</w:t>
      </w:r>
      <w:r>
        <w:rPr>
          <w:rFonts w:hint="eastAsia" w:ascii="仿宋_GB2312" w:hAnsi="仿宋_GB2312" w:eastAsia="仿宋_GB2312" w:cs="仿宋_GB2312"/>
          <w:color w:val="auto"/>
          <w:spacing w:val="-6"/>
          <w:kern w:val="2"/>
          <w:sz w:val="32"/>
          <w:szCs w:val="22"/>
          <w:highlight w:val="none"/>
        </w:rPr>
        <w:t>万元</w:t>
      </w:r>
      <w:r>
        <w:rPr>
          <w:rFonts w:hint="eastAsia" w:ascii="仿宋_GB2312" w:hAnsi="仿宋_GB2312" w:eastAsia="仿宋_GB2312" w:cs="仿宋_GB2312"/>
          <w:color w:val="auto"/>
          <w:spacing w:val="-6"/>
          <w:kern w:val="2"/>
          <w:sz w:val="32"/>
          <w:szCs w:val="22"/>
          <w:highlight w:val="none"/>
          <w:lang w:eastAsia="zh-CN"/>
        </w:rPr>
        <w:t>，</w:t>
      </w:r>
      <w:r>
        <w:rPr>
          <w:rFonts w:hint="eastAsia" w:ascii="仿宋_GB2312" w:hAnsi="仿宋_GB2312" w:eastAsia="仿宋_GB2312" w:cs="仿宋_GB2312"/>
          <w:color w:val="auto"/>
          <w:spacing w:val="-6"/>
          <w:kern w:val="2"/>
          <w:sz w:val="32"/>
          <w:szCs w:val="22"/>
          <w:highlight w:val="none"/>
          <w:lang w:val="en-US" w:eastAsia="zh-CN" w:bidi="ar-SA"/>
        </w:rPr>
        <w:t>资金筹措方式为自有资金与银行借贷结合。其中自有资金8619万元，银行借贷8619万元</w:t>
      </w:r>
      <w:r>
        <w:rPr>
          <w:rFonts w:hint="eastAsia" w:ascii="仿宋_GB2312" w:hAnsi="仿宋_GB2312" w:eastAsia="仿宋_GB2312" w:cs="仿宋_GB2312"/>
          <w:color w:val="auto"/>
          <w:spacing w:val="-6"/>
          <w:kern w:val="2"/>
          <w:sz w:val="32"/>
          <w:szCs w:val="22"/>
          <w:highlight w:val="none"/>
          <w:lang w:eastAsia="zh-CN"/>
        </w:rPr>
        <w:t>。</w:t>
      </w:r>
    </w:p>
    <w:p>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leftChars="0" w:right="0" w:rightChars="0" w:firstLine="616" w:firstLineChars="200"/>
        <w:jc w:val="both"/>
        <w:outlineLvl w:val="0"/>
        <w:rPr>
          <w:rStyle w:val="11"/>
          <w:rFonts w:eastAsia="黑体"/>
          <w:spacing w:val="-6"/>
          <w:kern w:val="28"/>
          <w:sz w:val="32"/>
          <w:szCs w:val="32"/>
        </w:rPr>
      </w:pPr>
      <w:r>
        <w:rPr>
          <w:rStyle w:val="11"/>
          <w:rFonts w:eastAsia="黑体" w:asciiTheme="minorHAnsi" w:hAnsiTheme="minorHAnsi" w:cstheme="minorBidi"/>
          <w:spacing w:val="-6"/>
          <w:kern w:val="28"/>
          <w:sz w:val="32"/>
          <w:szCs w:val="32"/>
        </w:rPr>
        <w:t>开发时序</w:t>
      </w:r>
    </w:p>
    <w:p>
      <w:pPr>
        <w:keepNext w:val="0"/>
        <w:keepLines w:val="0"/>
        <w:pageBreakBefore w:val="0"/>
        <w:widowControl/>
        <w:kinsoku/>
        <w:wordWrap/>
        <w:overflowPunct/>
        <w:topLinePunct w:val="0"/>
        <w:autoSpaceDE/>
        <w:autoSpaceDN/>
        <w:bidi w:val="0"/>
        <w:adjustRightInd/>
        <w:snapToGrid/>
        <w:spacing w:line="574" w:lineRule="exact"/>
        <w:ind w:right="0" w:rightChars="0" w:firstLine="616" w:firstLineChars="0"/>
        <w:jc w:val="both"/>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kern w:val="2"/>
          <w:sz w:val="32"/>
          <w:szCs w:val="22"/>
          <w:highlight w:val="none"/>
          <w:lang w:eastAsia="zh-CN"/>
        </w:rPr>
        <w:t>改造</w:t>
      </w:r>
      <w:r>
        <w:rPr>
          <w:rFonts w:hint="eastAsia" w:ascii="仿宋_GB2312" w:hAnsi="仿宋_GB2312" w:eastAsia="仿宋_GB2312" w:cs="仿宋_GB2312"/>
          <w:color w:val="auto"/>
          <w:spacing w:val="-6"/>
          <w:kern w:val="2"/>
          <w:sz w:val="32"/>
          <w:szCs w:val="22"/>
          <w:highlight w:val="none"/>
        </w:rPr>
        <w:t>项目</w:t>
      </w:r>
      <w:r>
        <w:rPr>
          <w:rFonts w:hint="eastAsia" w:ascii="仿宋_GB2312" w:hAnsi="仿宋_GB2312" w:eastAsia="仿宋_GB2312" w:cs="仿宋_GB2312"/>
          <w:color w:val="auto"/>
          <w:spacing w:val="-6"/>
          <w:kern w:val="2"/>
          <w:sz w:val="32"/>
          <w:szCs w:val="22"/>
          <w:highlight w:val="none"/>
          <w:lang w:eastAsia="zh-CN"/>
        </w:rPr>
        <w:t>自办理不动产登记之日起</w:t>
      </w:r>
      <w:r>
        <w:rPr>
          <w:rFonts w:hint="eastAsia" w:ascii="仿宋_GB2312" w:hAnsi="仿宋_GB2312" w:eastAsia="仿宋_GB2312" w:cs="仿宋_GB2312"/>
          <w:color w:val="auto"/>
          <w:spacing w:val="-6"/>
          <w:kern w:val="2"/>
          <w:sz w:val="32"/>
          <w:szCs w:val="22"/>
          <w:highlight w:val="none"/>
          <w:lang w:val="en-US" w:eastAsia="zh-CN"/>
        </w:rPr>
        <w:t>1年内开工，</w:t>
      </w:r>
      <w:r>
        <w:rPr>
          <w:rFonts w:hint="eastAsia" w:ascii="仿宋_GB2312" w:hAnsi="仿宋_GB2312" w:eastAsia="仿宋_GB2312" w:cs="仿宋_GB2312"/>
          <w:color w:val="auto"/>
          <w:spacing w:val="-6"/>
          <w:kern w:val="2"/>
          <w:sz w:val="32"/>
          <w:szCs w:val="22"/>
          <w:highlight w:val="none"/>
          <w:lang w:eastAsia="zh-CN"/>
        </w:rPr>
        <w:t>自开工之日起</w:t>
      </w:r>
      <w:r>
        <w:rPr>
          <w:rFonts w:hint="eastAsia" w:ascii="仿宋_GB2312" w:hAnsi="仿宋_GB2312" w:eastAsia="仿宋_GB2312" w:cs="仿宋_GB2312"/>
          <w:color w:val="auto"/>
          <w:spacing w:val="-6"/>
          <w:kern w:val="2"/>
          <w:sz w:val="32"/>
          <w:szCs w:val="22"/>
          <w:highlight w:val="none"/>
          <w:lang w:val="en-US" w:eastAsia="zh-CN"/>
        </w:rPr>
        <w:t>2.5年内竣工</w:t>
      </w:r>
      <w:r>
        <w:rPr>
          <w:rFonts w:hint="eastAsia" w:ascii="仿宋_GB2312" w:hAnsi="仿宋_GB2312" w:eastAsia="仿宋_GB2312" w:cs="仿宋_GB2312"/>
          <w:color w:val="auto"/>
          <w:spacing w:val="-6"/>
          <w:kern w:val="2"/>
          <w:sz w:val="32"/>
          <w:szCs w:val="22"/>
          <w:highlight w:val="none"/>
          <w:lang w:val="en-US" w:eastAsia="zh-CN" w:bidi="ar-SA"/>
        </w:rPr>
        <w:t>。</w:t>
      </w:r>
    </w:p>
    <w:p>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leftChars="0" w:right="0" w:rightChars="0" w:firstLine="616" w:firstLineChars="200"/>
        <w:jc w:val="both"/>
        <w:outlineLvl w:val="0"/>
        <w:rPr>
          <w:rStyle w:val="11"/>
          <w:rFonts w:hint="eastAsia" w:eastAsia="黑体"/>
          <w:spacing w:val="-6"/>
          <w:kern w:val="28"/>
          <w:sz w:val="32"/>
          <w:szCs w:val="32"/>
        </w:rPr>
      </w:pPr>
      <w:r>
        <w:rPr>
          <w:rStyle w:val="11"/>
          <w:rFonts w:hint="eastAsia" w:eastAsia="黑体" w:asciiTheme="minorHAnsi" w:hAnsiTheme="minorHAnsi" w:cstheme="minorBidi"/>
          <w:spacing w:val="-6"/>
          <w:kern w:val="28"/>
          <w:sz w:val="32"/>
          <w:szCs w:val="32"/>
        </w:rPr>
        <w:t>实施监管</w:t>
      </w:r>
    </w:p>
    <w:p>
      <w:pPr>
        <w:widowControl/>
        <w:wordWrap/>
        <w:spacing w:line="574" w:lineRule="exact"/>
        <w:ind w:firstLine="616" w:firstLineChars="0"/>
        <w:jc w:val="both"/>
        <w:rPr>
          <w:rFonts w:hint="eastAsia" w:ascii="仿宋_GB2312" w:hAnsi="仿宋_GB2312" w:eastAsia="仿宋_GB2312" w:cs="仿宋_GB2312"/>
          <w:color w:val="auto"/>
          <w:spacing w:val="-6"/>
          <w:sz w:val="32"/>
          <w:szCs w:val="22"/>
          <w:highlight w:val="none"/>
        </w:rPr>
      </w:pPr>
      <w:r>
        <w:rPr>
          <w:rFonts w:hint="eastAsia" w:ascii="仿宋_GB2312" w:hAnsi="仿宋_GB2312" w:eastAsia="仿宋_GB2312" w:cs="仿宋_GB2312"/>
          <w:color w:val="auto"/>
          <w:spacing w:val="-6"/>
          <w:sz w:val="32"/>
          <w:szCs w:val="22"/>
          <w:highlight w:val="none"/>
          <w:lang w:val="en-US" w:eastAsia="zh-CN"/>
        </w:rPr>
        <w:t>改造主体应按与板芙镇政府签订的项目实施监管协议约定实施改造，具体详见板芙镇人民政府与改造主体签订的项目实施监管协议。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964A4"/>
    <w:multiLevelType w:val="singleLevel"/>
    <w:tmpl w:val="AD6964A4"/>
    <w:lvl w:ilvl="0" w:tentative="0">
      <w:start w:val="4"/>
      <w:numFmt w:val="chineseCounting"/>
      <w:suff w:val="nothing"/>
      <w:lvlText w:val="（%1）"/>
      <w:lvlJc w:val="left"/>
      <w:rPr>
        <w:rFonts w:hint="eastAsia" w:ascii="楷体" w:hAnsi="楷体" w:eastAsia="楷体" w:cs="楷体"/>
        <w:sz w:val="32"/>
        <w:szCs w:val="32"/>
      </w:rPr>
    </w:lvl>
  </w:abstractNum>
  <w:abstractNum w:abstractNumId="1">
    <w:nsid w:val="AF770722"/>
    <w:multiLevelType w:val="singleLevel"/>
    <w:tmpl w:val="AF770722"/>
    <w:lvl w:ilvl="0" w:tentative="0">
      <w:start w:val="1"/>
      <w:numFmt w:val="chineseCounting"/>
      <w:suff w:val="nothing"/>
      <w:lvlText w:val="（%1）"/>
      <w:lvlJc w:val="left"/>
      <w:pPr>
        <w:ind w:left="14"/>
      </w:pPr>
      <w:rPr>
        <w:rFonts w:hint="eastAsia"/>
      </w:rPr>
    </w:lvl>
  </w:abstractNum>
  <w:abstractNum w:abstractNumId="2">
    <w:nsid w:val="BEB2EAAE"/>
    <w:multiLevelType w:val="singleLevel"/>
    <w:tmpl w:val="BEB2EAAE"/>
    <w:lvl w:ilvl="0" w:tentative="0">
      <w:start w:val="1"/>
      <w:numFmt w:val="chineseCounting"/>
      <w:suff w:val="nothing"/>
      <w:lvlText w:val="（%1）"/>
      <w:lvlJc w:val="left"/>
      <w:rPr>
        <w:rFonts w:hint="eastAsia"/>
      </w:rPr>
    </w:lvl>
  </w:abstractNum>
  <w:abstractNum w:abstractNumId="3">
    <w:nsid w:val="00000001"/>
    <w:multiLevelType w:val="multilevel"/>
    <w:tmpl w:val="00000001"/>
    <w:lvl w:ilvl="0" w:tentative="0">
      <w:start w:val="1"/>
      <w:numFmt w:val="chineseCountingThousand"/>
      <w:suff w:val="nothing"/>
      <w:lvlText w:val="%1、"/>
      <w:lvlJc w:val="left"/>
      <w:pPr>
        <w:ind w:left="2253" w:hanging="420"/>
      </w:pPr>
    </w:lvl>
    <w:lvl w:ilvl="1" w:tentative="0">
      <w:start w:val="1"/>
      <w:numFmt w:val="lowerLetter"/>
      <w:lvlText w:val="%1)"/>
      <w:lvlJc w:val="left"/>
      <w:pPr>
        <w:ind w:left="1480" w:hanging="420"/>
      </w:pPr>
    </w:lvl>
    <w:lvl w:ilvl="2" w:tentative="0">
      <w:start w:val="1"/>
      <w:numFmt w:val="lowerRoman"/>
      <w:lvlText w:val="%1."/>
      <w:lvlJc w:val="right"/>
      <w:pPr>
        <w:ind w:left="1900" w:hanging="420"/>
      </w:pPr>
    </w:lvl>
    <w:lvl w:ilvl="3" w:tentative="0">
      <w:start w:val="1"/>
      <w:numFmt w:val="decimal"/>
      <w:lvlText w:val="%1."/>
      <w:lvlJc w:val="left"/>
      <w:pPr>
        <w:ind w:left="2320" w:hanging="420"/>
      </w:pPr>
    </w:lvl>
    <w:lvl w:ilvl="4" w:tentative="0">
      <w:start w:val="1"/>
      <w:numFmt w:val="lowerLetter"/>
      <w:lvlText w:val="%1)"/>
      <w:lvlJc w:val="left"/>
      <w:pPr>
        <w:ind w:left="2740" w:hanging="420"/>
      </w:pPr>
    </w:lvl>
    <w:lvl w:ilvl="5" w:tentative="0">
      <w:start w:val="1"/>
      <w:numFmt w:val="lowerRoman"/>
      <w:lvlText w:val="%1."/>
      <w:lvlJc w:val="right"/>
      <w:pPr>
        <w:ind w:left="3160" w:hanging="420"/>
      </w:pPr>
    </w:lvl>
    <w:lvl w:ilvl="6" w:tentative="0">
      <w:start w:val="1"/>
      <w:numFmt w:val="decimal"/>
      <w:lvlText w:val="%1."/>
      <w:lvlJc w:val="left"/>
      <w:pPr>
        <w:ind w:left="3580" w:hanging="420"/>
      </w:pPr>
    </w:lvl>
    <w:lvl w:ilvl="7" w:tentative="0">
      <w:start w:val="1"/>
      <w:numFmt w:val="lowerLetter"/>
      <w:lvlText w:val="%1)"/>
      <w:lvlJc w:val="left"/>
      <w:pPr>
        <w:ind w:left="4000" w:hanging="420"/>
      </w:pPr>
    </w:lvl>
    <w:lvl w:ilvl="8" w:tentative="0">
      <w:start w:val="1"/>
      <w:numFmt w:val="lowerRoman"/>
      <w:lvlText w:val="%1."/>
      <w:lvlJc w:val="right"/>
      <w:pPr>
        <w:ind w:left="442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Y2I1YzNiOGY5ZmI1NjlkNDAxY2I1YzhjMzA2OGEifQ=="/>
  </w:docVars>
  <w:rsids>
    <w:rsidRoot w:val="403A50EF"/>
    <w:rsid w:val="000D78A4"/>
    <w:rsid w:val="001C049C"/>
    <w:rsid w:val="00AC7226"/>
    <w:rsid w:val="01D31020"/>
    <w:rsid w:val="02630AF6"/>
    <w:rsid w:val="02AA6302"/>
    <w:rsid w:val="03012405"/>
    <w:rsid w:val="032F27C8"/>
    <w:rsid w:val="04402605"/>
    <w:rsid w:val="05BD667A"/>
    <w:rsid w:val="05F509D2"/>
    <w:rsid w:val="071E4FBC"/>
    <w:rsid w:val="07A80859"/>
    <w:rsid w:val="07F11433"/>
    <w:rsid w:val="0807426A"/>
    <w:rsid w:val="08A116F6"/>
    <w:rsid w:val="08C24811"/>
    <w:rsid w:val="094E5095"/>
    <w:rsid w:val="0A997C58"/>
    <w:rsid w:val="0AFF4706"/>
    <w:rsid w:val="0B1224A9"/>
    <w:rsid w:val="0B341BAD"/>
    <w:rsid w:val="0B6546E2"/>
    <w:rsid w:val="0BC24CBE"/>
    <w:rsid w:val="0BC820E2"/>
    <w:rsid w:val="0BCB720C"/>
    <w:rsid w:val="0BCC39AB"/>
    <w:rsid w:val="0C63349E"/>
    <w:rsid w:val="0C6C56BE"/>
    <w:rsid w:val="0C9A1615"/>
    <w:rsid w:val="0CC31233"/>
    <w:rsid w:val="0CF91922"/>
    <w:rsid w:val="0D6C2793"/>
    <w:rsid w:val="0DD237BC"/>
    <w:rsid w:val="0E936E94"/>
    <w:rsid w:val="0E97668C"/>
    <w:rsid w:val="0F1F5A50"/>
    <w:rsid w:val="0F255FEB"/>
    <w:rsid w:val="0FEA1995"/>
    <w:rsid w:val="10640CFC"/>
    <w:rsid w:val="1067523D"/>
    <w:rsid w:val="110B4725"/>
    <w:rsid w:val="1113339D"/>
    <w:rsid w:val="112E4B54"/>
    <w:rsid w:val="1157794D"/>
    <w:rsid w:val="11B353BF"/>
    <w:rsid w:val="11E16BF3"/>
    <w:rsid w:val="120F7A2A"/>
    <w:rsid w:val="12143AE0"/>
    <w:rsid w:val="12290C35"/>
    <w:rsid w:val="122B3DAC"/>
    <w:rsid w:val="12650CBC"/>
    <w:rsid w:val="12D05B00"/>
    <w:rsid w:val="13C82EE6"/>
    <w:rsid w:val="13DC7935"/>
    <w:rsid w:val="14A4376A"/>
    <w:rsid w:val="14C20472"/>
    <w:rsid w:val="14C57522"/>
    <w:rsid w:val="15023B03"/>
    <w:rsid w:val="15193728"/>
    <w:rsid w:val="15723AF2"/>
    <w:rsid w:val="15D1675A"/>
    <w:rsid w:val="16210F0C"/>
    <w:rsid w:val="163B0388"/>
    <w:rsid w:val="164702CE"/>
    <w:rsid w:val="168F04C1"/>
    <w:rsid w:val="16915513"/>
    <w:rsid w:val="16C31358"/>
    <w:rsid w:val="16CE195E"/>
    <w:rsid w:val="17494CC2"/>
    <w:rsid w:val="17761009"/>
    <w:rsid w:val="17912EB8"/>
    <w:rsid w:val="17D21828"/>
    <w:rsid w:val="182E045A"/>
    <w:rsid w:val="18B623EC"/>
    <w:rsid w:val="18C34F0C"/>
    <w:rsid w:val="1976672F"/>
    <w:rsid w:val="19B067BC"/>
    <w:rsid w:val="19C122CF"/>
    <w:rsid w:val="1A191039"/>
    <w:rsid w:val="1A3A7593"/>
    <w:rsid w:val="1A3B0898"/>
    <w:rsid w:val="1C4A630F"/>
    <w:rsid w:val="1C7B7349"/>
    <w:rsid w:val="1CF35406"/>
    <w:rsid w:val="1D2F2D3E"/>
    <w:rsid w:val="1E1C5EC2"/>
    <w:rsid w:val="1E3E0C7E"/>
    <w:rsid w:val="1E4C3240"/>
    <w:rsid w:val="1EA416D1"/>
    <w:rsid w:val="1FE07EB9"/>
    <w:rsid w:val="20627AD5"/>
    <w:rsid w:val="21843142"/>
    <w:rsid w:val="221F600F"/>
    <w:rsid w:val="223D0F38"/>
    <w:rsid w:val="2259254A"/>
    <w:rsid w:val="22D66F38"/>
    <w:rsid w:val="22F117B5"/>
    <w:rsid w:val="2303433C"/>
    <w:rsid w:val="23436267"/>
    <w:rsid w:val="23D66ADB"/>
    <w:rsid w:val="23D81FBA"/>
    <w:rsid w:val="241243B2"/>
    <w:rsid w:val="24DB4BED"/>
    <w:rsid w:val="24F6340F"/>
    <w:rsid w:val="24FC29DA"/>
    <w:rsid w:val="252171A5"/>
    <w:rsid w:val="2557068B"/>
    <w:rsid w:val="262E6680"/>
    <w:rsid w:val="26656337"/>
    <w:rsid w:val="26806A39"/>
    <w:rsid w:val="26AB5298"/>
    <w:rsid w:val="26F356F3"/>
    <w:rsid w:val="26F87052"/>
    <w:rsid w:val="2754511E"/>
    <w:rsid w:val="28067B3A"/>
    <w:rsid w:val="289035E9"/>
    <w:rsid w:val="28CD627E"/>
    <w:rsid w:val="296F7CA5"/>
    <w:rsid w:val="2A07790A"/>
    <w:rsid w:val="2AA8714A"/>
    <w:rsid w:val="2B3801DA"/>
    <w:rsid w:val="2B3C09F7"/>
    <w:rsid w:val="2B4E089B"/>
    <w:rsid w:val="2BA156A4"/>
    <w:rsid w:val="2BF77A2F"/>
    <w:rsid w:val="2CDD22AB"/>
    <w:rsid w:val="2D247B5C"/>
    <w:rsid w:val="2D9E6567"/>
    <w:rsid w:val="2E1E255A"/>
    <w:rsid w:val="2EC90538"/>
    <w:rsid w:val="2EDD3F6F"/>
    <w:rsid w:val="2EEF2F90"/>
    <w:rsid w:val="2FA07FC3"/>
    <w:rsid w:val="2FD5496C"/>
    <w:rsid w:val="2FF32BC2"/>
    <w:rsid w:val="300674C7"/>
    <w:rsid w:val="30496FF8"/>
    <w:rsid w:val="306C4BB2"/>
    <w:rsid w:val="310B1297"/>
    <w:rsid w:val="31312A5E"/>
    <w:rsid w:val="32295B32"/>
    <w:rsid w:val="32443511"/>
    <w:rsid w:val="329753C8"/>
    <w:rsid w:val="334E34B9"/>
    <w:rsid w:val="33574C56"/>
    <w:rsid w:val="336D04EB"/>
    <w:rsid w:val="34941E2B"/>
    <w:rsid w:val="349A7C58"/>
    <w:rsid w:val="34D15AF4"/>
    <w:rsid w:val="34F528F0"/>
    <w:rsid w:val="35D525FD"/>
    <w:rsid w:val="360062A6"/>
    <w:rsid w:val="368B0408"/>
    <w:rsid w:val="369D1A89"/>
    <w:rsid w:val="36A54835"/>
    <w:rsid w:val="374024B5"/>
    <w:rsid w:val="376257C3"/>
    <w:rsid w:val="37D3697D"/>
    <w:rsid w:val="37FC4DE7"/>
    <w:rsid w:val="380F1889"/>
    <w:rsid w:val="38D2413D"/>
    <w:rsid w:val="38E20AE5"/>
    <w:rsid w:val="38E36E71"/>
    <w:rsid w:val="390A508C"/>
    <w:rsid w:val="39565AB7"/>
    <w:rsid w:val="3A0D6176"/>
    <w:rsid w:val="3A2F07E2"/>
    <w:rsid w:val="3A484004"/>
    <w:rsid w:val="3A4E724D"/>
    <w:rsid w:val="3B2A4A8F"/>
    <w:rsid w:val="3BA371E7"/>
    <w:rsid w:val="3BA5058C"/>
    <w:rsid w:val="3BB7321C"/>
    <w:rsid w:val="3BFE407D"/>
    <w:rsid w:val="3C3E7FE9"/>
    <w:rsid w:val="3CB13B21"/>
    <w:rsid w:val="3CDF63A6"/>
    <w:rsid w:val="3CF135AC"/>
    <w:rsid w:val="3D013111"/>
    <w:rsid w:val="3DF52869"/>
    <w:rsid w:val="3E2672DA"/>
    <w:rsid w:val="3F3F38C1"/>
    <w:rsid w:val="3F3F3BAC"/>
    <w:rsid w:val="3FD55947"/>
    <w:rsid w:val="3FEB70F5"/>
    <w:rsid w:val="3FFF5DDE"/>
    <w:rsid w:val="403A50EF"/>
    <w:rsid w:val="40694322"/>
    <w:rsid w:val="407829DC"/>
    <w:rsid w:val="40AF428E"/>
    <w:rsid w:val="40B839BB"/>
    <w:rsid w:val="416C4764"/>
    <w:rsid w:val="41F66AB4"/>
    <w:rsid w:val="420B562C"/>
    <w:rsid w:val="4343589C"/>
    <w:rsid w:val="434A3AB0"/>
    <w:rsid w:val="435600A2"/>
    <w:rsid w:val="43A31E05"/>
    <w:rsid w:val="449F444F"/>
    <w:rsid w:val="44FC71CE"/>
    <w:rsid w:val="45051700"/>
    <w:rsid w:val="460B12FA"/>
    <w:rsid w:val="462E4D32"/>
    <w:rsid w:val="47610391"/>
    <w:rsid w:val="48395484"/>
    <w:rsid w:val="486D77DF"/>
    <w:rsid w:val="48F478AB"/>
    <w:rsid w:val="49EA0D7A"/>
    <w:rsid w:val="4A300745"/>
    <w:rsid w:val="4A4C4A1D"/>
    <w:rsid w:val="4A726C30"/>
    <w:rsid w:val="4ABA40F8"/>
    <w:rsid w:val="4B06000D"/>
    <w:rsid w:val="4B3002E7"/>
    <w:rsid w:val="4B8E1986"/>
    <w:rsid w:val="4C0276D0"/>
    <w:rsid w:val="4C0E5E4A"/>
    <w:rsid w:val="4C2371A8"/>
    <w:rsid w:val="4C340BB3"/>
    <w:rsid w:val="4C5329C8"/>
    <w:rsid w:val="4D057181"/>
    <w:rsid w:val="4D37736D"/>
    <w:rsid w:val="4D3D195E"/>
    <w:rsid w:val="4D963E19"/>
    <w:rsid w:val="4E685E27"/>
    <w:rsid w:val="4E926D81"/>
    <w:rsid w:val="4EDC2E89"/>
    <w:rsid w:val="4F1C41BA"/>
    <w:rsid w:val="4F4F4230"/>
    <w:rsid w:val="4F6E60DE"/>
    <w:rsid w:val="4FB2334F"/>
    <w:rsid w:val="5054095A"/>
    <w:rsid w:val="51036FC5"/>
    <w:rsid w:val="511A6666"/>
    <w:rsid w:val="51272F4E"/>
    <w:rsid w:val="5149559D"/>
    <w:rsid w:val="5167171C"/>
    <w:rsid w:val="51F62284"/>
    <w:rsid w:val="524C41D8"/>
    <w:rsid w:val="52876FA6"/>
    <w:rsid w:val="52AF74B4"/>
    <w:rsid w:val="539C004C"/>
    <w:rsid w:val="544C0FA3"/>
    <w:rsid w:val="548A223D"/>
    <w:rsid w:val="55142A32"/>
    <w:rsid w:val="56B12EC7"/>
    <w:rsid w:val="56DC178D"/>
    <w:rsid w:val="56E3283D"/>
    <w:rsid w:val="57054CD6"/>
    <w:rsid w:val="571B632D"/>
    <w:rsid w:val="5812180A"/>
    <w:rsid w:val="58481CE4"/>
    <w:rsid w:val="584F166F"/>
    <w:rsid w:val="587305AA"/>
    <w:rsid w:val="594C028D"/>
    <w:rsid w:val="5A1C553B"/>
    <w:rsid w:val="5B4F43E9"/>
    <w:rsid w:val="5B890EBC"/>
    <w:rsid w:val="5BF4056C"/>
    <w:rsid w:val="5C9B2C21"/>
    <w:rsid w:val="5DFD38D8"/>
    <w:rsid w:val="5E3065D5"/>
    <w:rsid w:val="5E554FFA"/>
    <w:rsid w:val="5E847237"/>
    <w:rsid w:val="5EB9076E"/>
    <w:rsid w:val="5F401EB3"/>
    <w:rsid w:val="5F41402F"/>
    <w:rsid w:val="5F6F0822"/>
    <w:rsid w:val="5FFD5B08"/>
    <w:rsid w:val="60387535"/>
    <w:rsid w:val="62413A70"/>
    <w:rsid w:val="63112987"/>
    <w:rsid w:val="631A52DC"/>
    <w:rsid w:val="63C13E4D"/>
    <w:rsid w:val="64596731"/>
    <w:rsid w:val="64920ECA"/>
    <w:rsid w:val="64B47D45"/>
    <w:rsid w:val="65140036"/>
    <w:rsid w:val="65842DF0"/>
    <w:rsid w:val="66E3661B"/>
    <w:rsid w:val="66EA76BB"/>
    <w:rsid w:val="67105CCB"/>
    <w:rsid w:val="673C3EEB"/>
    <w:rsid w:val="67C621B7"/>
    <w:rsid w:val="68030A35"/>
    <w:rsid w:val="68523EAD"/>
    <w:rsid w:val="68946CB0"/>
    <w:rsid w:val="689877F1"/>
    <w:rsid w:val="68C11AE9"/>
    <w:rsid w:val="68CC1101"/>
    <w:rsid w:val="68CC52CB"/>
    <w:rsid w:val="69FA2AEA"/>
    <w:rsid w:val="6B1D0578"/>
    <w:rsid w:val="6B1E73CA"/>
    <w:rsid w:val="6B506EDE"/>
    <w:rsid w:val="6BA85C1D"/>
    <w:rsid w:val="6C7D608C"/>
    <w:rsid w:val="6D136580"/>
    <w:rsid w:val="6DB46109"/>
    <w:rsid w:val="6E47697D"/>
    <w:rsid w:val="6F0413D5"/>
    <w:rsid w:val="6F1C039B"/>
    <w:rsid w:val="700D166F"/>
    <w:rsid w:val="700D4D71"/>
    <w:rsid w:val="7040391C"/>
    <w:rsid w:val="709550A5"/>
    <w:rsid w:val="70DA42FD"/>
    <w:rsid w:val="70DF7B65"/>
    <w:rsid w:val="70E12F52"/>
    <w:rsid w:val="70E37655"/>
    <w:rsid w:val="70E75BD7"/>
    <w:rsid w:val="71286A35"/>
    <w:rsid w:val="716024DB"/>
    <w:rsid w:val="71615479"/>
    <w:rsid w:val="71D80DD7"/>
    <w:rsid w:val="71E722EB"/>
    <w:rsid w:val="723423EA"/>
    <w:rsid w:val="725A6C5E"/>
    <w:rsid w:val="72F759AB"/>
    <w:rsid w:val="73035041"/>
    <w:rsid w:val="74102BF5"/>
    <w:rsid w:val="7420531C"/>
    <w:rsid w:val="74BF29A5"/>
    <w:rsid w:val="754E66A1"/>
    <w:rsid w:val="756718BC"/>
    <w:rsid w:val="762B6BB6"/>
    <w:rsid w:val="768220A7"/>
    <w:rsid w:val="76967244"/>
    <w:rsid w:val="76FA6E40"/>
    <w:rsid w:val="772C4383"/>
    <w:rsid w:val="77686981"/>
    <w:rsid w:val="77BC4258"/>
    <w:rsid w:val="7854088E"/>
    <w:rsid w:val="786A5D9D"/>
    <w:rsid w:val="787E7C64"/>
    <w:rsid w:val="79196E3A"/>
    <w:rsid w:val="794715EA"/>
    <w:rsid w:val="79520E51"/>
    <w:rsid w:val="797616C3"/>
    <w:rsid w:val="7986021D"/>
    <w:rsid w:val="79D62A71"/>
    <w:rsid w:val="7A6F1F5A"/>
    <w:rsid w:val="7A7206F1"/>
    <w:rsid w:val="7A765FC7"/>
    <w:rsid w:val="7BDF66C9"/>
    <w:rsid w:val="7C4C347A"/>
    <w:rsid w:val="7CD87E49"/>
    <w:rsid w:val="7D28438B"/>
    <w:rsid w:val="7D2A75E5"/>
    <w:rsid w:val="7DBE0431"/>
    <w:rsid w:val="7DF42531"/>
    <w:rsid w:val="7E093DAF"/>
    <w:rsid w:val="7E2C02B9"/>
    <w:rsid w:val="7E451036"/>
    <w:rsid w:val="7E5F0AD8"/>
    <w:rsid w:val="7F451FDD"/>
    <w:rsid w:val="7F9F5DEF"/>
    <w:rsid w:val="7FC372A9"/>
    <w:rsid w:val="7FF7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widowControl/>
      <w:spacing w:before="120" w:after="100" w:afterAutospacing="1"/>
      <w:jc w:val="both"/>
    </w:pPr>
    <w:rPr>
      <w:rFonts w:ascii="Arial" w:hAnsi="Arial" w:eastAsia="宋体" w:cs="Arial"/>
      <w:kern w:val="2"/>
      <w:sz w:val="24"/>
      <w:szCs w:val="24"/>
      <w:lang w:val="en-US" w:eastAsia="zh-CN" w:bidi="gu-IN"/>
    </w:rPr>
  </w:style>
  <w:style w:type="paragraph" w:styleId="4">
    <w:name w:val="Body Text Indent 2"/>
    <w:basedOn w:val="1"/>
    <w:qFormat/>
    <w:uiPriority w:val="0"/>
    <w:pPr>
      <w:ind w:firstLine="480"/>
    </w:pPr>
    <w:rPr>
      <w:rFonts w:ascii="宋体" w:hAnsi="宋体"/>
      <w:color w:val="00000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UserStyle_3"/>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1">
    <w:name w:val="NormalCharacter"/>
    <w:qFormat/>
    <w:uiPriority w:val="0"/>
  </w:style>
  <w:style w:type="paragraph" w:customStyle="1" w:styleId="12">
    <w:name w:val="00正文"/>
    <w:qFormat/>
    <w:uiPriority w:val="0"/>
    <w:pPr>
      <w:spacing w:line="360" w:lineRule="auto"/>
      <w:ind w:firstLine="200" w:firstLineChars="200"/>
    </w:pPr>
    <w:rPr>
      <w:rFonts w:ascii="Calibri" w:hAnsi="Calibri" w:eastAsia="宋体" w:cs="Times New Roman"/>
      <w:bCs/>
      <w:kern w:val="44"/>
      <w:sz w:val="24"/>
      <w:szCs w:val="4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BodyText"/>
    <w:next w:val="15"/>
    <w:qFormat/>
    <w:uiPriority w:val="0"/>
    <w:pPr>
      <w:widowControl w:val="0"/>
      <w:jc w:val="both"/>
      <w:textAlignment w:val="baseline"/>
    </w:pPr>
    <w:rPr>
      <w:rFonts w:ascii="Calibri" w:hAnsi="Calibri" w:eastAsia="宋体" w:cs="Times New Roman"/>
      <w:kern w:val="2"/>
      <w:sz w:val="44"/>
      <w:szCs w:val="24"/>
      <w:lang w:val="en-US" w:eastAsia="zh-CN" w:bidi="ar-SA"/>
    </w:rPr>
  </w:style>
  <w:style w:type="paragraph" w:customStyle="1" w:styleId="15">
    <w:name w:val="TOC5"/>
    <w:next w:val="1"/>
    <w:qFormat/>
    <w:uiPriority w:val="0"/>
    <w:pPr>
      <w:widowControl w:val="0"/>
      <w:ind w:left="1680"/>
      <w:jc w:val="both"/>
      <w:textAlignment w:val="baseline"/>
    </w:pPr>
    <w:rPr>
      <w:rFonts w:ascii="Calibri" w:hAnsi="Calibri" w:eastAsia="仿宋_GB2312" w:cs="Times New Roman"/>
      <w:kern w:val="2"/>
      <w:sz w:val="32"/>
      <w:lang w:val="en-US" w:eastAsia="zh-CN" w:bidi="ar-SA"/>
    </w:rPr>
  </w:style>
  <w:style w:type="paragraph" w:customStyle="1" w:styleId="16">
    <w:name w:val="正文文本缩进 21"/>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2987</Words>
  <Characters>3331</Characters>
  <Lines>0</Lines>
  <Paragraphs>0</Paragraphs>
  <TotalTime>98</TotalTime>
  <ScaleCrop>false</ScaleCrop>
  <LinksUpToDate>false</LinksUpToDate>
  <CharactersWithSpaces>3332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2022-09-06T02:02:00Z</dcterms:created>
  <dc:creator>PC</dc:creator>
  <cp:lastModifiedBy>童妙</cp:lastModifiedBy>
  <dcterms:modified xsi:type="dcterms:W3CDTF">2024-09-09T03:16:25Z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37205F53B08043398D879F5199DFDDF1_13</vt:lpwstr>
  </property>
</Properties>
</file>