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color w:val="auto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  <w:t>阜沙镇中山市永合工贸有限公司“工改工”宗地项目“三旧”改造方案</w:t>
      </w:r>
    </w:p>
    <w:p>
      <w:pPr>
        <w:spacing w:line="574" w:lineRule="exact"/>
        <w:ind w:firstLine="616" w:firstLineChars="200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</w:pPr>
    </w:p>
    <w:p>
      <w:pPr>
        <w:spacing w:line="574" w:lineRule="exact"/>
        <w:ind w:firstLine="616" w:firstLineChars="200"/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根据中山市城市更新（“三旧”改造）专项规划和经批复的规划条件论证，阜沙镇人民政府拟对位于中山市阜沙镇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阜沙大道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的中山市永合工贸有限公司旧厂房用地进行改造，由土地权利人中山市永合工贸有限公司自主改造，采取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局部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改造方式。改造方案如下：</w:t>
      </w:r>
    </w:p>
    <w:p>
      <w:pPr>
        <w:spacing w:line="574" w:lineRule="exact"/>
        <w:ind w:firstLine="616" w:firstLineChars="200"/>
        <w:rPr>
          <w:rFonts w:ascii="黑体" w:hAnsi="黑体" w:eastAsia="黑体" w:cs="黑体"/>
          <w:color w:val="auto"/>
          <w:spacing w:val="-6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</w:rPr>
        <w:t>一、改造地块基本情况</w:t>
      </w:r>
    </w:p>
    <w:p>
      <w:pPr>
        <w:spacing w:line="574" w:lineRule="exact"/>
        <w:ind w:firstLine="616" w:firstLineChars="200"/>
        <w:rPr>
          <w:rFonts w:ascii="楷体" w:hAnsi="楷体" w:eastAsia="楷体" w:cs="楷体"/>
          <w:color w:val="auto"/>
          <w:spacing w:val="-6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pacing w:val="-6"/>
          <w:sz w:val="32"/>
          <w:szCs w:val="32"/>
        </w:rPr>
        <w:t>（一）总体情况</w:t>
      </w:r>
    </w:p>
    <w:p>
      <w:pPr>
        <w:spacing w:line="574" w:lineRule="exact"/>
        <w:ind w:firstLine="616" w:firstLineChars="200"/>
        <w:rPr>
          <w:rFonts w:ascii="Times New Roman" w:hAnsi="Times New Roman" w:eastAsia="仿宋_GB2312"/>
          <w:color w:val="auto"/>
          <w:spacing w:val="-6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改造地块位中山市阜沙镇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阜沙大道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，北至</w:t>
      </w:r>
      <w:r>
        <w:rPr>
          <w:rFonts w:ascii="Times New Roman" w:hAnsi="Times New Roman" w:eastAsia="仿宋_GB2312"/>
          <w:color w:val="auto"/>
          <w:spacing w:val="-6"/>
          <w:sz w:val="32"/>
          <w:szCs w:val="32"/>
        </w:rPr>
        <w:t>友联废旧金属回收有限公司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，南至中山市永明印刷材料有限公司，东至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东阜公路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，西至</w:t>
      </w:r>
      <w:r>
        <w:rPr>
          <w:rFonts w:ascii="Times New Roman" w:hAnsi="Times New Roman" w:eastAsia="仿宋_GB2312"/>
          <w:color w:val="auto"/>
          <w:spacing w:val="-6"/>
          <w:sz w:val="32"/>
          <w:szCs w:val="32"/>
        </w:rPr>
        <w:t>埠港东路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，用地面积1</w:t>
      </w:r>
      <w:r>
        <w:rPr>
          <w:rFonts w:ascii="Times New Roman" w:hAnsi="Times New Roman" w:eastAsia="仿宋_GB2312"/>
          <w:color w:val="auto"/>
          <w:spacing w:val="-6"/>
          <w:sz w:val="32"/>
          <w:szCs w:val="32"/>
        </w:rPr>
        <w:t>.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6831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公顷（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16831.28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平方米，折合约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25.25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亩）。</w:t>
      </w:r>
    </w:p>
    <w:p>
      <w:pPr>
        <w:spacing w:line="574" w:lineRule="exact"/>
        <w:ind w:firstLine="616" w:firstLineChars="200"/>
        <w:rPr>
          <w:rFonts w:ascii="楷体" w:hAnsi="楷体" w:eastAsia="楷体" w:cs="楷体"/>
          <w:color w:val="auto"/>
          <w:spacing w:val="-6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pacing w:val="-6"/>
          <w:sz w:val="32"/>
          <w:szCs w:val="32"/>
        </w:rPr>
        <w:t>（二）标图入库情况</w:t>
      </w:r>
    </w:p>
    <w:p>
      <w:pPr>
        <w:spacing w:line="574" w:lineRule="exact"/>
        <w:ind w:firstLine="616" w:firstLineChars="200"/>
        <w:rPr>
          <w:rFonts w:ascii="仿宋_GB2312" w:hAnsi="仿宋_GB2312" w:eastAsia="仿宋_GB2312" w:cs="仿宋_GB2312"/>
          <w:color w:val="000000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改造地块于202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月纳入“三旧”标图入库，图斑编号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</w:rPr>
        <w:t>为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44200093036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纳入图斑面积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1.5819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公顷（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15819.5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平方米，折合约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23.73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亩），纳入本次改造范围，为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改造范围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；另有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0.1012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公顷（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1011.78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平方米，折合约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1.52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亩）未纳入“三旧”标图入库，不纳入本次改造范围。</w:t>
      </w:r>
    </w:p>
    <w:p>
      <w:pPr>
        <w:spacing w:line="574" w:lineRule="exact"/>
        <w:ind w:firstLine="616" w:firstLineChars="200"/>
        <w:rPr>
          <w:rFonts w:ascii="楷体" w:hAnsi="楷体" w:eastAsia="楷体" w:cs="楷体"/>
          <w:color w:val="auto"/>
          <w:spacing w:val="-6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pacing w:val="-6"/>
          <w:sz w:val="32"/>
          <w:szCs w:val="32"/>
        </w:rPr>
        <w:t>（三）权属情况</w:t>
      </w:r>
    </w:p>
    <w:p>
      <w:pPr>
        <w:spacing w:line="574" w:lineRule="exact"/>
        <w:ind w:firstLine="616" w:firstLineChars="200"/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改造项目范围内全部属国有建设用地，土地用途为工业，改造涉及的土地已经确权、登记，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土地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证号为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中府国用（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2003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）第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060190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号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，为土地权利人中山市永合工贸有限公司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自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2003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月开始使用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。</w:t>
      </w:r>
    </w:p>
    <w:p>
      <w:pPr>
        <w:spacing w:line="574" w:lineRule="exact"/>
        <w:ind w:firstLine="616" w:firstLineChars="200"/>
        <w:rPr>
          <w:rFonts w:ascii="楷体" w:hAnsi="楷体" w:eastAsia="楷体" w:cs="楷体"/>
          <w:color w:val="auto"/>
          <w:spacing w:val="-6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pacing w:val="-6"/>
          <w:sz w:val="32"/>
          <w:szCs w:val="32"/>
        </w:rPr>
        <w:t>（四）土地利用现状情况</w:t>
      </w:r>
    </w:p>
    <w:p>
      <w:pPr>
        <w:spacing w:line="574" w:lineRule="exact"/>
        <w:ind w:firstLine="616" w:firstLineChars="200"/>
        <w:rPr>
          <w:rFonts w:hint="default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改造地块土地利用现状为建设用地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1</w:t>
      </w:r>
      <w:r>
        <w:rPr>
          <w:rFonts w:ascii="Times New Roman" w:hAnsi="Times New Roman" w:eastAsia="仿宋_GB2312"/>
          <w:color w:val="auto"/>
          <w:spacing w:val="-6"/>
          <w:sz w:val="32"/>
          <w:szCs w:val="32"/>
        </w:rPr>
        <w:t>.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6831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公顷（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16831.28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平方米，折合约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25.25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亩）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改造地块“二调”土地利用现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状为建设用地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1</w:t>
      </w:r>
      <w:r>
        <w:rPr>
          <w:rFonts w:ascii="Times New Roman" w:hAnsi="Times New Roman" w:eastAsia="仿宋_GB2312"/>
          <w:color w:val="auto"/>
          <w:spacing w:val="-6"/>
          <w:sz w:val="32"/>
          <w:szCs w:val="32"/>
        </w:rPr>
        <w:t>.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6668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公顷（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16667.62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平方米，折合约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2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.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亩）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农用地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0.0163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公顷（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163.66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平方米，折合约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0.25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亩）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。改造范围不涉及整体利用的边角地、夹心地、插花地（下称“三地”）、其他用地、征地留用地、与原“三旧”用地置换的“三旧”用地或其他存量建设用地、使用原“三旧”用地复垦产生的规模或指标的非建设用地。</w:t>
      </w:r>
    </w:p>
    <w:p>
      <w:pPr>
        <w:spacing w:line="574" w:lineRule="exact"/>
        <w:ind w:firstLine="616" w:firstLineChars="200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改造地块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内现有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栋建筑物，为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产权人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中山市永合工贸有限公司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自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2003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highlight w:val="none"/>
          <w:lang w:val="en-US" w:eastAsia="zh-CN"/>
        </w:rPr>
        <w:t>已按规定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highlight w:val="none"/>
        </w:rPr>
        <w:t>办理规划报建等手续，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highlight w:val="none"/>
          <w:lang w:val="en-US" w:eastAsia="zh-CN"/>
        </w:rPr>
        <w:t>证号为粤房地证第C1622572号；现有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建筑面积约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highlight w:val="none"/>
          <w:lang w:val="en-US" w:eastAsia="zh-CN"/>
        </w:rPr>
        <w:t>6683.22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平方米（不含不计容面积），容积率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highlight w:val="none"/>
        </w:rPr>
        <w:t>0.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highlight w:val="none"/>
        </w:rPr>
        <w:t>0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highlight w:val="none"/>
          <w:lang w:val="en-US" w:eastAsia="zh-CN"/>
        </w:rPr>
        <w:t>作工业厂房所用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highlight w:val="none"/>
          <w:lang w:val="en-US" w:eastAsia="zh-CN"/>
        </w:rPr>
        <w:t>该地块目前未拆除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建筑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，改造前年产值为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highlight w:val="none"/>
          <w:lang w:val="en-US" w:eastAsia="zh-CN"/>
        </w:rPr>
        <w:t>380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万元（约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万元/亩），年税收为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万元（约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万元/亩）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eastAsia="zh-CN"/>
        </w:rPr>
        <w:t>。</w:t>
      </w:r>
    </w:p>
    <w:p>
      <w:pPr>
        <w:spacing w:line="574" w:lineRule="exact"/>
        <w:ind w:firstLine="616" w:firstLineChars="200"/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eastAsia="zh-CN"/>
        </w:rPr>
        <w:t>改造地块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未被认定为闲置。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改造地块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不涉及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历史文化资源要素和抵押等情况,不属于土地环境潜在监管地块范围。</w:t>
      </w:r>
    </w:p>
    <w:p>
      <w:pPr>
        <w:spacing w:line="574" w:lineRule="exact"/>
        <w:ind w:firstLine="616" w:firstLineChars="200"/>
        <w:rPr>
          <w:rFonts w:ascii="楷体" w:hAnsi="楷体" w:eastAsia="楷体" w:cs="楷体"/>
          <w:color w:val="auto"/>
          <w:spacing w:val="-6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pacing w:val="-6"/>
          <w:sz w:val="32"/>
          <w:szCs w:val="32"/>
        </w:rPr>
        <w:t>（五）规划情况</w:t>
      </w:r>
    </w:p>
    <w:p>
      <w:pPr>
        <w:spacing w:line="574" w:lineRule="exact"/>
        <w:ind w:firstLine="616" w:firstLineChars="200"/>
        <w:rPr>
          <w:rFonts w:ascii="仿宋_GB2312" w:hAnsi="仿宋_GB2312" w:eastAsia="仿宋_GB2312" w:cs="仿宋_GB2312"/>
          <w:color w:val="FF0000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eastAsia="zh-CN"/>
        </w:rPr>
        <w:t>改造地块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基本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符合国土空间总体规划、经批复的规划条件论证，已纳入《中山市城市更新（“三旧”改造）专项规划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（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2020-2035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）》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。其中，在国土空间总体规划中，属城乡建设用地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1</w:t>
      </w:r>
      <w:r>
        <w:rPr>
          <w:rFonts w:ascii="Times New Roman" w:hAnsi="Times New Roman" w:eastAsia="仿宋_GB2312"/>
          <w:color w:val="auto"/>
          <w:spacing w:val="-6"/>
          <w:sz w:val="32"/>
          <w:szCs w:val="32"/>
        </w:rPr>
        <w:t>.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6831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公顷（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16831.28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平方米，折合约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25.25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亩）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在《中山市阜沙镇工业用地规划条件论证报告》（中府函〔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2022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〕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325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号）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《阜沙镇罗松片区二期控制性详细规划》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中府办复〔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</w:rPr>
        <w:t>2011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</w:rPr>
        <w:t>72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中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，一类工业用地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1.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3034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公顷（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13034.25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平方米，折合约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19.55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亩），规划容积率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2.0-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.5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，建筑密度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35%-60%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，绿地率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10%-15%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，建筑高度≤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米；生产防护绿地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0.0901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公顷（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901.29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平方米，折合约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1.35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亩）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公共绿地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0.0169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公顷（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168.94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平方米，折合约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0.26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亩）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二类居住用地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0.0015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公顷（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14.92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平方米，折合约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0.02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亩）；城市道路用地面积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0.2712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公顷（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2711.88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平方米，折合约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4.07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亩）。</w:t>
      </w:r>
    </w:p>
    <w:p>
      <w:pPr>
        <w:spacing w:line="574" w:lineRule="exact"/>
        <w:ind w:firstLine="616" w:firstLineChars="200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eastAsia="zh-CN"/>
        </w:rPr>
        <w:t>改造地块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1.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6831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公顷（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16831.23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平方米，折合约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25.25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亩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）位于“三区三线”城镇开发边界内，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0.05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平方米位于“三区三线”城镇开发边界外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改造地块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不涉及永久基本农田、生态保护红线、森林资源等管控要求。</w:t>
      </w:r>
    </w:p>
    <w:p>
      <w:pPr>
        <w:spacing w:line="574" w:lineRule="exact"/>
        <w:ind w:firstLine="616" w:firstLineChars="200"/>
        <w:rPr>
          <w:rFonts w:ascii="黑体" w:hAnsi="黑体" w:eastAsia="黑体" w:cs="黑体"/>
          <w:color w:val="auto"/>
          <w:spacing w:val="-6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</w:rPr>
        <w:t>二、改造意愿情况</w:t>
      </w:r>
    </w:p>
    <w:p>
      <w:pPr>
        <w:spacing w:line="574" w:lineRule="exact"/>
        <w:ind w:firstLine="616" w:firstLineChars="200"/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改造范围涉及中山市永合工贸有限公司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个权利主体，阜沙镇人民政府已按照法律法规，就改造范围、土地现状、改造主体及拟改造情况等事项征询涉及权利主体改造意愿，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同意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将涉及土地、房屋纳入改造范围。</w:t>
      </w:r>
    </w:p>
    <w:p>
      <w:pPr>
        <w:spacing w:line="574" w:lineRule="exact"/>
        <w:ind w:firstLine="616" w:firstLineChars="200"/>
        <w:rPr>
          <w:rFonts w:ascii="黑体" w:hAnsi="黑体" w:eastAsia="黑体" w:cs="黑体"/>
          <w:color w:val="auto"/>
          <w:spacing w:val="-6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</w:rPr>
        <w:t>三、改造主体及拟改造情况</w:t>
      </w:r>
    </w:p>
    <w:p>
      <w:pPr>
        <w:spacing w:line="574" w:lineRule="exact"/>
        <w:ind w:firstLine="616" w:firstLineChars="200"/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根据有关规划要求，改造项目严格按照国土空间总体规划、经批复的规划条件论证管控要求实施建设。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在规划中属非建设用地部分，按照非建设用地进行管控；在详细规划中属公益性用地部分，日后属地政府需按规划开发建设时，应无偿将用地交给属地政府使用。</w:t>
      </w:r>
    </w:p>
    <w:p>
      <w:pPr>
        <w:spacing w:line="574" w:lineRule="exact"/>
        <w:ind w:firstLine="616" w:firstLineChars="200"/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改造项目属“工改工”宗地项目，拟采取权利人自主改造方式，由中山市永合工贸有限公司作为改造主体，实施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局部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改造。改造后将用于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电子信息、机器人智能和装备制造、新能源新材料、医疗器械、包装数字印刷等产业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，在符合详细规划的基础上，容积率不小于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2.0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，总建筑面积不小于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33662.56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平方米（不含不计容建筑面积），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其中新建建筑面积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不小于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31557.52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平方米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保留建筑面积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2105.04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平方米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项目申请分割销售，自持比例不小于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51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。</w:t>
      </w:r>
      <w:bookmarkStart w:id="0" w:name="_GoBack"/>
      <w:bookmarkEnd w:id="0"/>
    </w:p>
    <w:p>
      <w:pPr>
        <w:spacing w:line="574" w:lineRule="exact"/>
        <w:ind w:firstLine="616" w:firstLineChars="200"/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项目相关情况符合国家《产业结构调整指导目录》、《中山市“三线一单”生态环境分区管控方案》、《中山市涉挥发性有机物项目环保管理规定》、《中山市环保共性产业园规划》。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改造后年产值将达到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highlight w:val="none"/>
          <w:lang w:val="en-US" w:eastAsia="zh-CN"/>
        </w:rPr>
        <w:t>15150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万元（折合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highlight w:val="none"/>
        </w:rPr>
        <w:t>600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万/亩），年税收将达到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505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万元（折合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万/亩）。</w:t>
      </w:r>
    </w:p>
    <w:p>
      <w:pPr>
        <w:numPr>
          <w:ilvl w:val="0"/>
          <w:numId w:val="1"/>
        </w:numPr>
        <w:spacing w:line="574" w:lineRule="exact"/>
        <w:ind w:firstLine="616" w:firstLineChars="200"/>
        <w:rPr>
          <w:rFonts w:ascii="黑体" w:hAnsi="黑体" w:eastAsia="黑体" w:cs="黑体"/>
          <w:color w:val="auto"/>
          <w:spacing w:val="-6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</w:rPr>
        <w:t>资金筹措</w:t>
      </w:r>
    </w:p>
    <w:p>
      <w:pPr>
        <w:spacing w:line="574" w:lineRule="exact"/>
        <w:ind w:firstLine="592"/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改造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主体拟投入资金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5900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万元，其中自有资金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highlight w:val="none"/>
          <w:lang w:val="en-US" w:eastAsia="zh-CN"/>
        </w:rPr>
        <w:t>2900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银行融资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3000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。</w:t>
      </w:r>
    </w:p>
    <w:p>
      <w:pPr>
        <w:numPr>
          <w:ilvl w:val="0"/>
          <w:numId w:val="1"/>
        </w:numPr>
        <w:spacing w:line="574" w:lineRule="exact"/>
        <w:ind w:firstLine="616" w:firstLineChars="200"/>
        <w:rPr>
          <w:rFonts w:ascii="黑体" w:hAnsi="黑体" w:eastAsia="黑体" w:cs="黑体"/>
          <w:color w:val="auto"/>
          <w:spacing w:val="-6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</w:rPr>
        <w:t>开发时序</w:t>
      </w:r>
    </w:p>
    <w:p>
      <w:pPr>
        <w:spacing w:line="574" w:lineRule="exact"/>
        <w:ind w:firstLine="592"/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取得改造方案批复之日起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365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日开工，自开工之日起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730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日内竣工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</w:rPr>
        <w:t>主要实施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建设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</w:rPr>
        <w:t>工业厂房和配套设施。</w:t>
      </w:r>
    </w:p>
    <w:p>
      <w:pPr>
        <w:spacing w:line="574" w:lineRule="exact"/>
        <w:ind w:firstLine="616" w:firstLineChars="200"/>
        <w:rPr>
          <w:rFonts w:ascii="黑体" w:hAnsi="黑体" w:eastAsia="黑体" w:cs="黑体"/>
          <w:color w:val="auto"/>
          <w:spacing w:val="-6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</w:rPr>
        <w:t>六、实施监管</w:t>
      </w:r>
    </w:p>
    <w:p>
      <w:pPr>
        <w:spacing w:line="574" w:lineRule="exact"/>
        <w:ind w:firstLine="616" w:firstLineChars="200"/>
        <w:rPr>
          <w:rFonts w:ascii="仿宋_GB2312" w:hAnsi="仿宋_GB2312" w:eastAsia="仿宋_GB2312" w:cs="仿宋_GB2312"/>
          <w:color w:val="auto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详见项目实施监管协议。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CA8AD6"/>
    <w:multiLevelType w:val="singleLevel"/>
    <w:tmpl w:val="61CA8AD6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42360"/>
    <w:rsid w:val="051C5362"/>
    <w:rsid w:val="0BE10536"/>
    <w:rsid w:val="0C52749C"/>
    <w:rsid w:val="10672CC6"/>
    <w:rsid w:val="14B4537B"/>
    <w:rsid w:val="15B46264"/>
    <w:rsid w:val="189121E1"/>
    <w:rsid w:val="2186208D"/>
    <w:rsid w:val="2291050E"/>
    <w:rsid w:val="2ADB463C"/>
    <w:rsid w:val="3B4918D6"/>
    <w:rsid w:val="3E5148C8"/>
    <w:rsid w:val="3FF322B2"/>
    <w:rsid w:val="41DB60AA"/>
    <w:rsid w:val="442E30DC"/>
    <w:rsid w:val="48B70FF3"/>
    <w:rsid w:val="48CF3A02"/>
    <w:rsid w:val="545C4537"/>
    <w:rsid w:val="5E9D1BD9"/>
    <w:rsid w:val="61DA7410"/>
    <w:rsid w:val="6D893DDB"/>
    <w:rsid w:val="72D13757"/>
    <w:rsid w:val="73106D01"/>
    <w:rsid w:val="73A649A9"/>
    <w:rsid w:val="76475789"/>
    <w:rsid w:val="7A586E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560" w:lineRule="exact"/>
      <w:outlineLvl w:val="1"/>
    </w:pPr>
    <w:rPr>
      <w:rFonts w:ascii="Arial" w:hAnsi="Arial" w:eastAsia="黑体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/>
    </w:pPr>
    <w:rPr>
      <w:rFonts w:ascii="宋体" w:hAnsi="宋体"/>
      <w:color w:val="000000"/>
      <w:sz w:val="24"/>
    </w:rPr>
  </w:style>
  <w:style w:type="paragraph" w:styleId="4">
    <w:name w:val="toa heading"/>
    <w:basedOn w:val="1"/>
    <w:next w:val="1"/>
    <w:qFormat/>
    <w:uiPriority w:val="0"/>
    <w:pPr>
      <w:widowControl/>
      <w:spacing w:before="120" w:after="100" w:afterAutospacing="1"/>
    </w:pPr>
    <w:rPr>
      <w:rFonts w:ascii="Arial" w:hAnsi="Arial" w:cs="Arial"/>
      <w:sz w:val="24"/>
      <w:lang w:bidi="gu-IN"/>
    </w:rPr>
  </w:style>
  <w:style w:type="paragraph" w:styleId="5">
    <w:name w:val="annotation text"/>
    <w:basedOn w:val="1"/>
    <w:unhideWhenUsed/>
    <w:qFormat/>
    <w:uiPriority w:val="99"/>
    <w:pPr>
      <w:jc w:val="left"/>
    </w:p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9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3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302</Words>
  <Characters>1722</Characters>
  <Lines>14</Lines>
  <Paragraphs>4</Paragraphs>
  <TotalTime>56</TotalTime>
  <ScaleCrop>false</ScaleCrop>
  <LinksUpToDate>false</LinksUpToDate>
  <CharactersWithSpaces>2020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2022-10-22T00:30:00Z</dcterms:created>
  <dc:creator>Administrator</dc:creator>
  <cp:lastModifiedBy>Administrator</cp:lastModifiedBy>
  <cp:lastPrinted>2022-12-27T23:07:00Z</cp:lastPrinted>
  <dcterms:modified xsi:type="dcterms:W3CDTF">2024-09-05T01:58:05Z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C4801CC175A546759FAA8BBDCE1432FF</vt:lpwstr>
  </property>
</Properties>
</file>