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变更</w:t>
      </w:r>
      <w:r>
        <w:rPr>
          <w:rFonts w:hint="eastAsia" w:ascii="仿宋" w:hAnsi="仿宋" w:eastAsia="仿宋" w:cs="仿宋"/>
          <w:sz w:val="30"/>
          <w:szCs w:val="30"/>
        </w:rPr>
        <w:t>中府集用（2010）第250500号用地规划条件公示的通告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29255" cy="3076575"/>
            <wp:effectExtent l="0" t="0" r="4445" b="9525"/>
            <wp:docPr id="1" name="图片 1" descr="李桂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桂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李桂文用地图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该宗地位于中山市南朗镇冲口村，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土地证</w:t>
      </w:r>
      <w:r>
        <w:rPr>
          <w:rFonts w:hint="eastAsia" w:ascii="仿宋" w:hAnsi="仿宋" w:eastAsia="仿宋" w:cs="仿宋"/>
          <w:sz w:val="30"/>
          <w:szCs w:val="30"/>
        </w:rPr>
        <w:t>号为中府集用（2010）第250500号，证载土地用途为农村宅基地，用地面积为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李桂文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F0706FD"/>
    <w:rsid w:val="11AA2163"/>
    <w:rsid w:val="180533FE"/>
    <w:rsid w:val="1ABC2BC8"/>
    <w:rsid w:val="1C923177"/>
    <w:rsid w:val="48B174F8"/>
    <w:rsid w:val="53C600F3"/>
    <w:rsid w:val="608F67A5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2024-09-02T01:27:26Z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