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76C58">
      <w:pPr>
        <w:keepNext w:val="0"/>
        <w:keepLines w:val="0"/>
        <w:pageBreakBefore w:val="0"/>
        <w:widowControl w:val="0"/>
        <w:tabs>
          <w:tab w:val="left" w:pos="5460"/>
        </w:tabs>
        <w:kinsoku/>
        <w:wordWrap/>
        <w:overflowPunct/>
        <w:topLinePunct w:val="0"/>
        <w:autoSpaceDE w:val="0"/>
        <w:autoSpaceDN w:val="0"/>
        <w:bidi w:val="0"/>
        <w:adjustRightInd w:val="0"/>
        <w:snapToGrid w:val="0"/>
        <w:spacing w:line="300" w:lineRule="auto"/>
        <w:jc w:val="both"/>
        <w:textAlignment w:val="auto"/>
        <w:rPr>
          <w:rFonts w:hint="eastAsia" w:ascii="微软雅黑" w:hAnsi="微软雅黑" w:eastAsia="微软雅黑" w:cs="微软雅黑"/>
          <w:b w:val="0"/>
          <w:bCs w:val="0"/>
          <w:color w:val="auto"/>
          <w:sz w:val="32"/>
          <w:szCs w:val="32"/>
          <w:highlight w:val="none"/>
          <w:lang w:val="en-US" w:eastAsia="zh-CN"/>
        </w:rPr>
      </w:pPr>
    </w:p>
    <w:p w14:paraId="5CBE48E0">
      <w:pPr>
        <w:pStyle w:val="2"/>
        <w:tabs>
          <w:tab w:val="left" w:pos="5460"/>
        </w:tabs>
        <w:rPr>
          <w:rFonts w:hint="eastAsia"/>
          <w:b w:val="0"/>
          <w:bCs w:val="0"/>
          <w:sz w:val="32"/>
          <w:szCs w:val="32"/>
          <w:lang w:val="en-US" w:eastAsia="zh-CN"/>
        </w:rPr>
      </w:pPr>
    </w:p>
    <w:p w14:paraId="62CA6B44">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中共中山市东区街道花苑社区委</w:t>
      </w:r>
      <w:bookmarkStart w:id="0" w:name="_GoBack"/>
      <w:bookmarkEnd w:id="0"/>
      <w:r>
        <w:rPr>
          <w:rFonts w:hint="eastAsia" w:ascii="方正小标宋_GBK" w:hAnsi="方正小标宋_GBK" w:eastAsia="方正小标宋_GBK" w:cs="方正小标宋_GBK"/>
          <w:b w:val="0"/>
          <w:bCs w:val="0"/>
          <w:color w:val="auto"/>
          <w:sz w:val="44"/>
          <w:szCs w:val="44"/>
          <w:highlight w:val="none"/>
          <w:lang w:val="en-US" w:eastAsia="zh-CN"/>
        </w:rPr>
        <w:t>员会关于</w:t>
      </w:r>
    </w:p>
    <w:p w14:paraId="0300632F">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黑体" w:hAnsi="黑体" w:eastAsia="黑体" w:cs="黑体"/>
          <w:b w:val="0"/>
          <w:bCs w:val="0"/>
          <w:snapToGrid w:val="0"/>
          <w:color w:val="auto"/>
          <w:spacing w:val="6"/>
          <w:kern w:val="32"/>
          <w:sz w:val="32"/>
          <w:szCs w:val="32"/>
          <w:highlight w:val="none"/>
          <w:lang w:val="en-US" w:eastAsia="zh-CN" w:bidi="ar-SA"/>
        </w:rPr>
      </w:pPr>
      <w:r>
        <w:rPr>
          <w:rFonts w:hint="eastAsia" w:ascii="方正小标宋_GBK" w:hAnsi="方正小标宋_GBK" w:eastAsia="方正小标宋_GBK" w:cs="方正小标宋_GBK"/>
          <w:b w:val="0"/>
          <w:bCs w:val="0"/>
          <w:color w:val="auto"/>
          <w:sz w:val="44"/>
          <w:szCs w:val="44"/>
          <w:highlight w:val="none"/>
          <w:lang w:val="en-US" w:eastAsia="zh-CN"/>
        </w:rPr>
        <w:t>十五届市委对村巡察整改进展情况的通报</w:t>
      </w:r>
    </w:p>
    <w:p w14:paraId="43722856">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6"/>
          <w:kern w:val="32"/>
          <w:sz w:val="32"/>
          <w:szCs w:val="32"/>
          <w:highlight w:val="none"/>
          <w:lang w:val="en-US" w:eastAsia="zh-CN" w:bidi="ar-SA"/>
        </w:rPr>
        <w:t xml:space="preserve">   </w:t>
      </w:r>
    </w:p>
    <w:p w14:paraId="7187AD7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根据市委统一部署，2023年10月20日至12月31日，</w:t>
      </w:r>
      <w:r>
        <w:rPr>
          <w:rFonts w:hint="eastAsia" w:ascii="Times New Roman" w:hAnsi="Times New Roman" w:eastAsia="仿宋_GB2312"/>
          <w:b w:val="0"/>
          <w:bCs w:val="0"/>
          <w:color w:val="auto"/>
          <w:spacing w:val="0"/>
          <w:sz w:val="32"/>
          <w:szCs w:val="32"/>
          <w:highlight w:val="none"/>
          <w:lang w:val="en-US" w:eastAsia="zh-CN"/>
        </w:rPr>
        <w:t>市委第七巡察组对花苑社区党委开展巡察。2024年1月26日，市委巡察组向花苑社区党委反馈巡察意见。按照</w:t>
      </w:r>
      <w:r>
        <w:rPr>
          <w:rFonts w:ascii="Times New Roman" w:hAnsi="仿宋_GB2312" w:eastAsia="仿宋_GB2312" w:cs="Times New Roman"/>
          <w:b w:val="0"/>
          <w:bCs w:val="0"/>
          <w:spacing w:val="0"/>
          <w:sz w:val="32"/>
          <w:szCs w:val="32"/>
          <w:lang w:eastAsia="zh-CN"/>
        </w:rPr>
        <w:t>巡视巡察</w:t>
      </w:r>
      <w:r>
        <w:rPr>
          <w:rFonts w:hint="eastAsia" w:ascii="Times New Roman" w:hAnsi="Times New Roman" w:eastAsia="仿宋_GB2312"/>
          <w:b w:val="0"/>
          <w:bCs w:val="0"/>
          <w:color w:val="auto"/>
          <w:spacing w:val="0"/>
          <w:sz w:val="32"/>
          <w:szCs w:val="32"/>
          <w:highlight w:val="none"/>
          <w:lang w:val="en-US" w:eastAsia="zh-CN"/>
        </w:rPr>
        <w:t>工作有关要求，现将巡察整改进展情况</w:t>
      </w:r>
      <w:r>
        <w:rPr>
          <w:rFonts w:ascii="Times New Roman" w:hAnsi="仿宋_GB2312" w:eastAsia="仿宋_GB2312" w:cs="Times New Roman"/>
          <w:b w:val="0"/>
          <w:bCs w:val="0"/>
          <w:spacing w:val="0"/>
          <w:sz w:val="32"/>
          <w:szCs w:val="32"/>
        </w:rPr>
        <w:t>予以公布</w:t>
      </w:r>
      <w:r>
        <w:rPr>
          <w:rFonts w:hint="eastAsia" w:ascii="Times New Roman" w:hAnsi="Times New Roman" w:eastAsia="仿宋_GB2312"/>
          <w:b w:val="0"/>
          <w:bCs w:val="0"/>
          <w:color w:val="auto"/>
          <w:spacing w:val="0"/>
          <w:sz w:val="32"/>
          <w:szCs w:val="32"/>
          <w:highlight w:val="none"/>
          <w:lang w:val="en-US" w:eastAsia="zh-CN"/>
        </w:rPr>
        <w:t>。</w:t>
      </w:r>
    </w:p>
    <w:p w14:paraId="215E00E4">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Chars="0" w:firstLine="672" w:firstLineChars="200"/>
        <w:textAlignment w:val="auto"/>
        <w:rPr>
          <w:rFonts w:hint="eastAsia" w:ascii="黑体" w:hAnsi="黑体" w:eastAsia="黑体" w:cs="黑体"/>
          <w:b w:val="0"/>
          <w:bCs w:val="0"/>
          <w:snapToGrid w:val="0"/>
          <w:color w:val="auto"/>
          <w:spacing w:val="6"/>
          <w:kern w:val="32"/>
          <w:sz w:val="32"/>
          <w:szCs w:val="32"/>
          <w:highlight w:val="none"/>
          <w:lang w:val="en-US" w:eastAsia="zh-CN" w:bidi="ar-SA"/>
        </w:rPr>
      </w:pPr>
      <w:r>
        <w:rPr>
          <w:rFonts w:ascii="Times New Roman" w:hAnsi="黑体" w:eastAsia="黑体" w:cs="Times New Roman"/>
          <w:b w:val="0"/>
          <w:bCs w:val="0"/>
          <w:spacing w:val="8"/>
          <w:sz w:val="32"/>
          <w:szCs w:val="32"/>
          <w:lang w:eastAsia="zh-CN"/>
        </w:rPr>
        <w:t>党委履行巡察整改主体责任情况</w:t>
      </w:r>
    </w:p>
    <w:p w14:paraId="541657D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eastAsia"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（一）提高政治站位，强化整改自觉</w:t>
      </w:r>
    </w:p>
    <w:p w14:paraId="0E339E0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花苑社区党委深入学习贯彻习近平总书记关于巡视工作的重要论述，学习市委书记在专题会议上的讲话精神，认真落实市委第七巡察组的要求，坚持把巡察整改作为重大政治任务，对照巡察反馈问题和意见，狠抓巡察整改工作融入日常工作、融入全面从严治党、融入班子队伍建设，扎实做好巡察整改工作，真正把忠诚拥护“两个确立”、坚决做到“两个维护”落实到整改全过程。</w:t>
      </w:r>
    </w:p>
    <w:p w14:paraId="10FD423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eastAsia"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（二）加强统筹领导，落实“第一责任人”</w:t>
      </w:r>
    </w:p>
    <w:p w14:paraId="7BC66E2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花苑社区党委高度重视市委第七巡察组反馈的问题，精心组织推进，收到巡察反馈意见后，社区党委书记坚决落实整改第一责任人责任，立即召开专题会议传达学习上级巡视巡察有关精神，向社区党委班子成员传达反馈意见，建立责任落实和压力传导链条，加强抓整改的内在自觉，力促以整改推进社区党委班子成员在思想上更加清醒、信念上更加坚定、工作上更加务实。</w:t>
      </w:r>
    </w:p>
    <w:p w14:paraId="50AAAA0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b w:val="0"/>
          <w:bCs w:val="0"/>
          <w:color w:val="auto"/>
          <w:sz w:val="32"/>
          <w:szCs w:val="32"/>
          <w:highlight w:val="none"/>
          <w:lang w:val="en-US" w:eastAsia="zh-CN"/>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（三）细化整改工作，层层压实责任</w:t>
      </w:r>
    </w:p>
    <w:p w14:paraId="4BBC98D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结合社区实际，制定相关巡察反馈意见整改方案，明确社区党委书记及成员职责，加强整改工作的统筹分工，列明问题清单、任务清单、责任清单，确定责任人、责任单位和整改时限，把落实整改工作与促进花苑社区干部队伍作风转变的过程相结合，先后召开巡察反馈问题整改工作会议、社区党委巡察整改专题组织生活会，以严实深细的工作作风，举一反三查摆问题，深刻剖析原因，制定务实的整改措施，推动问题真正整改到位。</w:t>
      </w:r>
    </w:p>
    <w:p w14:paraId="5A1BF67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default"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（四）建立健全机制，注重长效管理</w:t>
      </w:r>
    </w:p>
    <w:p w14:paraId="6CFDA77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研究剖析巡察反馈的问题和意见，注重长效，在整改过程中举一反三，建立并完善规章制度，定期召开纪律教育专题培训，结合“三会一课”制度，开展党风廉政建设，加强社区内部管理和队伍建设，强化各基层党组织党员的规矩意识，将纪律规矩牢记心中，落实于行。</w:t>
      </w:r>
    </w:p>
    <w:p w14:paraId="271B9F7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default" w:ascii="黑体" w:hAnsi="黑体" w:eastAsia="黑体" w:cs="黑体"/>
          <w:b w:val="0"/>
          <w:bCs w:val="0"/>
          <w:snapToGrid w:val="0"/>
          <w:color w:val="auto"/>
          <w:spacing w:val="6"/>
          <w:kern w:val="32"/>
          <w:sz w:val="32"/>
          <w:szCs w:val="32"/>
          <w:highlight w:val="none"/>
          <w:lang w:val="en-US" w:eastAsia="zh-CN" w:bidi="ar-SA"/>
        </w:rPr>
      </w:pPr>
      <w:r>
        <w:rPr>
          <w:rFonts w:hint="eastAsia" w:ascii="黑体" w:hAnsi="黑体" w:eastAsia="黑体" w:cs="黑体"/>
          <w:b w:val="0"/>
          <w:bCs w:val="0"/>
          <w:snapToGrid w:val="0"/>
          <w:color w:val="auto"/>
          <w:spacing w:val="6"/>
          <w:kern w:val="32"/>
          <w:sz w:val="32"/>
          <w:szCs w:val="32"/>
          <w:highlight w:val="none"/>
          <w:lang w:val="en-US" w:eastAsia="zh-CN" w:bidi="ar-SA"/>
        </w:rPr>
        <w:t>二、</w:t>
      </w:r>
      <w:r>
        <w:rPr>
          <w:rFonts w:ascii="Times New Roman" w:hAnsi="黑体" w:eastAsia="黑体" w:cs="Times New Roman"/>
          <w:b w:val="0"/>
          <w:bCs w:val="0"/>
          <w:spacing w:val="8"/>
          <w:sz w:val="32"/>
          <w:szCs w:val="32"/>
          <w:lang w:eastAsia="zh-CN"/>
        </w:rPr>
        <w:t>巡察反馈重点问题整改落实情况</w:t>
      </w:r>
    </w:p>
    <w:p w14:paraId="43591DB1">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textAlignment w:val="auto"/>
        <w:rPr>
          <w:rFonts w:hint="eastAsia"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（一）</w:t>
      </w:r>
      <w:r>
        <w:rPr>
          <w:rFonts w:ascii="Times New Roman" w:hAnsi="楷体_GB2312" w:eastAsia="楷体_GB2312" w:cs="Times New Roman"/>
          <w:b w:val="0"/>
          <w:bCs w:val="0"/>
          <w:sz w:val="32"/>
          <w:szCs w:val="32"/>
        </w:rPr>
        <w:t>聚焦党</w:t>
      </w:r>
      <w:r>
        <w:rPr>
          <w:rFonts w:ascii="Times New Roman" w:hAnsi="楷体_GB2312" w:eastAsia="楷体_GB2312" w:cs="Times New Roman"/>
          <w:b w:val="0"/>
          <w:bCs w:val="0"/>
          <w:sz w:val="32"/>
          <w:szCs w:val="32"/>
          <w:lang w:eastAsia="zh-CN"/>
        </w:rPr>
        <w:t>中央各项决策部署在基层的落实</w:t>
      </w:r>
      <w:r>
        <w:rPr>
          <w:rFonts w:ascii="Times New Roman" w:hAnsi="楷体_GB2312" w:eastAsia="楷体_GB2312" w:cs="Times New Roman"/>
          <w:b w:val="0"/>
          <w:bCs w:val="0"/>
          <w:sz w:val="32"/>
          <w:szCs w:val="32"/>
        </w:rPr>
        <w:t>方面</w:t>
      </w:r>
    </w:p>
    <w:p w14:paraId="3DB94B9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1.推动“百千万工程”走深走实，打造舒适人居环境</w:t>
      </w:r>
    </w:p>
    <w:p w14:paraId="3B39FDE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（1）认真落实“百千万工程”</w:t>
      </w:r>
    </w:p>
    <w:p w14:paraId="4675FC9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一是深入老旧小区开展空调滴水摸排整改工作。对</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珊瑚阁和松茂阁空调滴水严重的楼幢，</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将空调滴水管接驳管道延伸到地面下水口处，有效解决了空调滴水问题</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w:t>
      </w:r>
    </w:p>
    <w:p w14:paraId="689C5D0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联动开展绿化管护和加大对绿化管养单位的监督。通过联动党建共建单位，发动党员志愿者、青年志愿者等参与绿化管护志愿服务，集中整改期内共清理花基2000平方米、补种花卉绿植6000棵；同时，通过现场检查、填写月度评分表进一步加强对绿化管养单位的监督，目前绿化管养单位已对辖区约1000平方米的花基进行季度养护。</w:t>
      </w:r>
    </w:p>
    <w:p w14:paraId="4980BE0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是结合驻点日加强网格巡查。通过网格日常巡查及每周二驻点日工作，对占道经营的商家及时劝导。至今，共排查存在占道经营现象商家13个，已完成整改13个，并对已完成整改的商家定期开展“回头看”，联合相关职能部门进行整治，统一规范经营范围。</w:t>
      </w:r>
    </w:p>
    <w:p w14:paraId="0272FCC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四是持续推动美丽乡村建设整体提升。花苑社区党委先后组织23个党建共建单位，联动开展6场“见缝插绿”活动，共种植花卉绿植6000多盆；</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以“三清三拆三整治”为抓手，</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美化9处</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“四小园”</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，清运2吨废弃垃圾；通过“随手拍”，及时发现并整治30处</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三线</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问题。</w:t>
      </w:r>
    </w:p>
    <w:p w14:paraId="5AC85AE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2.扎实做好</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意识形态工作</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，引导正向社会风气</w:t>
      </w:r>
    </w:p>
    <w:p w14:paraId="2C76737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（2）</w:t>
      </w:r>
      <w:r>
        <w:rPr>
          <w:rFonts w:hint="eastAsia" w:ascii="Times New Roman" w:hAnsi="Times New Roman" w:eastAsia="仿宋_GB2312" w:cs="Times New Roman"/>
          <w:b w:val="0"/>
          <w:bCs w:val="0"/>
          <w:snapToGrid w:val="0"/>
          <w:color w:val="auto"/>
          <w:kern w:val="32"/>
          <w:sz w:val="32"/>
          <w:szCs w:val="32"/>
          <w:highlight w:val="none"/>
          <w:lang w:val="en-US" w:eastAsia="zh-CN"/>
        </w:rPr>
        <w:t>严格落实意识形态工作</w:t>
      </w:r>
    </w:p>
    <w:p w14:paraId="72EDD14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一是加强工作部署。制定社区意识形态工作实施方案，建立健全社区每季度至少召开一次意识形态分析研判会制度，</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对意识形态工作进行专门部署</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w:t>
      </w:r>
    </w:p>
    <w:p w14:paraId="09D7530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强化风险防范意识</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。落实社区党委书记任第一负责人，分管委员为直接责任人，完善各网格群网格长和联络人配置，及时对风险隐患进行分析研判，并细化防范</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风险点</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的</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工作措施</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，将意识形态工作融入日常，抓在经常。</w:t>
      </w:r>
    </w:p>
    <w:p w14:paraId="27AEC83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是加强学习指引。花苑社区党委在基层党组织学习内容上融入相关学习内容，进一步提升各党支部做好意识形态领域工作意识。组织社区全体工作人员近20人开展专题培训会议，进一步提高工作人员的风险研判能力和响应能力。</w:t>
      </w:r>
    </w:p>
    <w:p w14:paraId="1D504AFF">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（二）</w:t>
      </w:r>
      <w:r>
        <w:rPr>
          <w:rFonts w:hint="default" w:ascii="楷体_GB2312" w:hAnsi="楷体_GB2312" w:eastAsia="楷体_GB2312" w:cs="楷体_GB2312"/>
          <w:b w:val="0"/>
          <w:bCs w:val="0"/>
          <w:snapToGrid w:val="0"/>
          <w:color w:val="auto"/>
          <w:spacing w:val="6"/>
          <w:kern w:val="32"/>
          <w:sz w:val="32"/>
          <w:szCs w:val="32"/>
          <w:highlight w:val="none"/>
          <w:lang w:val="en-US" w:eastAsia="zh-CN" w:bidi="ar-SA"/>
        </w:rPr>
        <w:t>聚焦群众身边腐败问题和不正之风以及群众反映强烈的问题</w:t>
      </w:r>
      <w:r>
        <w:rPr>
          <w:rFonts w:ascii="Times New Roman" w:hAnsi="楷体_GB2312" w:eastAsia="楷体_GB2312" w:cs="Times New Roman"/>
          <w:b w:val="0"/>
          <w:bCs w:val="0"/>
          <w:sz w:val="32"/>
          <w:szCs w:val="32"/>
          <w:lang w:val="en-US" w:eastAsia="zh-CN"/>
        </w:rPr>
        <w:t>方面</w:t>
      </w:r>
    </w:p>
    <w:p w14:paraId="5983538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1.强化农村“三资”管理监管，促进农村经济健康发展</w:t>
      </w:r>
    </w:p>
    <w:p w14:paraId="6AC6FD5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（3）完善财务管理制度</w:t>
      </w:r>
    </w:p>
    <w:p w14:paraId="17C7CB7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w:t>
      </w:r>
      <w:r>
        <w:rPr>
          <w:rFonts w:hint="eastAsia" w:ascii="Times New Roman" w:hAnsi="Times New Roman" w:eastAsia="仿宋_GB2312" w:cs="Times New Roman"/>
          <w:b w:val="0"/>
          <w:bCs w:val="0"/>
          <w:color w:val="auto"/>
          <w:sz w:val="32"/>
          <w:szCs w:val="32"/>
          <w:lang w:val="en-US" w:eastAsia="zh-CN"/>
        </w:rPr>
        <w:t>强化落实监督责任</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。通过制定相关财务管理工作方案、财务报销审批制度等，强化财务审批手续管理，确保报销资料规范。设立监督人员和监督机制，每季度对社区财务资料进行审核，确保依法依规开展财务结算。</w:t>
      </w:r>
    </w:p>
    <w:p w14:paraId="4115B83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提高财务人员业务知识能力。组织社区“两委”成员及专干、经联社“两委”及财务人员等开展财务业务培训，熟悉相关财务管理制度和程序，提升全体工作人员对财务管理制度的知晓率，提高财务人员业务知识能力。</w:t>
      </w:r>
    </w:p>
    <w:p w14:paraId="3EB61A6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（4）规范对农村“三资”平台的管理工作</w:t>
      </w:r>
    </w:p>
    <w:p w14:paraId="4D39D7A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一是全面摸排资产同步更新系统。整理好线下集体经济合同、资产台账，确保线上线下合同与资产台账一致。</w:t>
      </w:r>
    </w:p>
    <w:p w14:paraId="03DB0D5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二是提高</w:t>
      </w:r>
      <w:r>
        <w:rPr>
          <w:rFonts w:hint="eastAsia" w:ascii="Times New Roman" w:hAnsi="Times New Roman" w:eastAsia="仿宋_GB2312"/>
          <w:b w:val="0"/>
          <w:bCs w:val="0"/>
          <w:snapToGrid w:val="0"/>
          <w:color w:val="auto"/>
          <w:spacing w:val="6"/>
          <w:kern w:val="32"/>
          <w:sz w:val="32"/>
          <w:szCs w:val="32"/>
          <w:lang w:bidi="zh-CN"/>
        </w:rPr>
        <w:t>“</w:t>
      </w:r>
      <w:r>
        <w:rPr>
          <w:rFonts w:ascii="Times New Roman" w:hAnsi="Times New Roman" w:eastAsia="仿宋_GB2312"/>
          <w:b w:val="0"/>
          <w:bCs w:val="0"/>
          <w:snapToGrid w:val="0"/>
          <w:color w:val="auto"/>
          <w:spacing w:val="6"/>
          <w:kern w:val="32"/>
          <w:sz w:val="32"/>
          <w:szCs w:val="32"/>
          <w:lang w:bidi="zh-CN"/>
        </w:rPr>
        <w:t>三资</w:t>
      </w:r>
      <w:r>
        <w:rPr>
          <w:rFonts w:hint="eastAsia" w:ascii="Times New Roman" w:hAnsi="Times New Roman" w:eastAsia="仿宋_GB2312"/>
          <w:b w:val="0"/>
          <w:bCs w:val="0"/>
          <w:snapToGrid w:val="0"/>
          <w:color w:val="auto"/>
          <w:spacing w:val="6"/>
          <w:kern w:val="32"/>
          <w:sz w:val="32"/>
          <w:szCs w:val="32"/>
          <w:lang w:bidi="zh-CN"/>
        </w:rPr>
        <w:t>”</w:t>
      </w:r>
      <w:r>
        <w:rPr>
          <w:rFonts w:ascii="Times New Roman" w:hAnsi="Times New Roman" w:eastAsia="仿宋_GB2312"/>
          <w:b w:val="0"/>
          <w:bCs w:val="0"/>
          <w:snapToGrid w:val="0"/>
          <w:color w:val="auto"/>
          <w:spacing w:val="6"/>
          <w:kern w:val="32"/>
          <w:sz w:val="32"/>
          <w:szCs w:val="32"/>
          <w:lang w:bidi="zh-CN"/>
        </w:rPr>
        <w:t>管理</w:t>
      </w:r>
      <w:r>
        <w:rPr>
          <w:rFonts w:hint="eastAsia" w:ascii="Times New Roman" w:hAnsi="Times New Roman" w:eastAsia="仿宋_GB2312"/>
          <w:b w:val="0"/>
          <w:bCs w:val="0"/>
          <w:snapToGrid w:val="0"/>
          <w:color w:val="auto"/>
          <w:spacing w:val="6"/>
          <w:kern w:val="32"/>
          <w:sz w:val="32"/>
          <w:szCs w:val="32"/>
          <w:lang w:val="en-US" w:bidi="zh-CN"/>
        </w:rPr>
        <w:t>人员</w:t>
      </w:r>
      <w:r>
        <w:rPr>
          <w:rFonts w:ascii="Times New Roman" w:hAnsi="Times New Roman" w:eastAsia="仿宋_GB2312"/>
          <w:b w:val="0"/>
          <w:bCs w:val="0"/>
          <w:snapToGrid w:val="0"/>
          <w:color w:val="auto"/>
          <w:spacing w:val="6"/>
          <w:kern w:val="32"/>
          <w:sz w:val="32"/>
          <w:szCs w:val="32"/>
          <w:lang w:bidi="zh-CN"/>
        </w:rPr>
        <w:t>的业务</w:t>
      </w:r>
      <w:r>
        <w:rPr>
          <w:rFonts w:hint="eastAsia" w:ascii="Times New Roman" w:hAnsi="Times New Roman" w:eastAsia="仿宋_GB2312"/>
          <w:b w:val="0"/>
          <w:bCs w:val="0"/>
          <w:snapToGrid w:val="0"/>
          <w:color w:val="auto"/>
          <w:spacing w:val="6"/>
          <w:kern w:val="32"/>
          <w:sz w:val="32"/>
          <w:szCs w:val="32"/>
          <w:lang w:val="en-US" w:bidi="zh-CN"/>
        </w:rPr>
        <w:t>能力</w:t>
      </w:r>
      <w:r>
        <w:rPr>
          <w:rFonts w:hint="eastAsia" w:ascii="Times New Roman" w:hAnsi="Times New Roman" w:eastAsia="仿宋_GB2312"/>
          <w:b w:val="0"/>
          <w:bCs w:val="0"/>
          <w:snapToGrid w:val="0"/>
          <w:color w:val="auto"/>
          <w:spacing w:val="6"/>
          <w:kern w:val="32"/>
          <w:sz w:val="32"/>
          <w:szCs w:val="32"/>
          <w:lang w:bidi="zh-CN"/>
        </w:rPr>
        <w:t>。</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组织经联社相关工作人员开展“三资平台”制度和相关“资产管理办法”的培训，</w:t>
      </w:r>
      <w:r>
        <w:rPr>
          <w:rFonts w:hint="eastAsia" w:ascii="仿宋_GB2312" w:hAnsi="仿宋_GB2312" w:eastAsia="仿宋_GB2312" w:cs="仿宋_GB2312"/>
          <w:b w:val="0"/>
          <w:bCs w:val="0"/>
          <w:snapToGrid w:val="0"/>
          <w:color w:val="auto"/>
          <w:spacing w:val="6"/>
          <w:kern w:val="0"/>
          <w:sz w:val="32"/>
          <w:szCs w:val="32"/>
          <w:lang w:val="en-US" w:eastAsia="zh-CN" w:bidi="ar-SA"/>
        </w:rPr>
        <w:t>提高专职人员固定资产管理意识，提升专职人员的业务水平</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w:t>
      </w:r>
    </w:p>
    <w:p w14:paraId="0F9E6D1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2.关注民生领域，解决</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群众关心的突出问题</w:t>
      </w:r>
    </w:p>
    <w:p w14:paraId="2C7E337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（5）积极推进民生问题的解决</w:t>
      </w:r>
    </w:p>
    <w:p w14:paraId="46F4B34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多措并举整改“飞线”充电现象。结合日常网格巡查，对10个小区的“飞线”充电情况进行排查，对18处存在“飞线”充电问题的住户发放整改通知书并落实整改；在柏苑新村阁片区、坊片区等电动自行车充电需求量大的地方，增设6处集中充电桩，进一步缓解“飞线”充电现象。</w:t>
      </w:r>
    </w:p>
    <w:p w14:paraId="30CA54B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加强无物业小区管理。结合老旧小区改造，在柏苑新村增设3套智慧停车闸，有序控制小区外来车辆数；组织开展各网格专项巡查，对发现的33处不规范停车情况，及时派发温馨提示，并在居民群内提醒车主有序停放车辆，共同维护文明停车秩序。</w:t>
      </w:r>
    </w:p>
    <w:p w14:paraId="48954F4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是常态化发动志愿者加强社区巡查。通过开展主题党日活动、志愿管家活动，共发动18名志愿管家（党员楼长）、6名热心居民每月定期对各个网格车辆开展常态化巡查，社区及时收集好志愿者反馈情况并进行协调处理，有序引导车辆停放，有效改善了小区道路停车问题。</w:t>
      </w:r>
    </w:p>
    <w:p w14:paraId="6B048ADE">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textAlignment w:val="auto"/>
        <w:rPr>
          <w:rFonts w:hint="eastAsia"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（三）</w:t>
      </w:r>
      <w:r>
        <w:rPr>
          <w:rFonts w:hint="default" w:ascii="楷体_GB2312" w:hAnsi="楷体_GB2312" w:eastAsia="楷体_GB2312" w:cs="楷体_GB2312"/>
          <w:b w:val="0"/>
          <w:bCs w:val="0"/>
          <w:snapToGrid w:val="0"/>
          <w:color w:val="auto"/>
          <w:spacing w:val="6"/>
          <w:kern w:val="32"/>
          <w:sz w:val="32"/>
          <w:szCs w:val="32"/>
          <w:highlight w:val="none"/>
          <w:lang w:val="en-US" w:eastAsia="zh-CN" w:bidi="ar-SA"/>
        </w:rPr>
        <w:t>聚焦基层党组织建设</w:t>
      </w: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方面</w:t>
      </w:r>
    </w:p>
    <w:p w14:paraId="592B71A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1.落实党建主体责任，发挥政治功能</w:t>
      </w:r>
    </w:p>
    <w:p w14:paraId="62BC63C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（6）落实全面从严治党主体责任</w:t>
      </w:r>
    </w:p>
    <w:p w14:paraId="01730E6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严抓落实全面从严治党主体责任。进一步强化抓好党委班子党建本职，严格落实社区党委班子成员以普通党员身份参与各党支部的组织生活，主动开展会前的谈心谈话，结合送学上门慰问活动，进一步加深社区党委班子成员对各党支部党员的了解和联系。</w:t>
      </w:r>
    </w:p>
    <w:p w14:paraId="5B9B972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加强文书培训和审核机制。组织工作人员开展文书撰写培训，提升社区工作人员写作水平；完善审核机制，社区“两委”年度述职报告、组织生活会对照检查报告由组织委员、分管副书记、党委书记逐层审核把关。</w:t>
      </w:r>
    </w:p>
    <w:p w14:paraId="536FF49C">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是深入开展自查和提醒教育。定期开展自查，严格审核社区“两委”年度述职报告、组织生活会对照检查报告等材料，提高文字材料质量；党委书记对“两委”班子成员开展经常性谈心谈话，进一步抓好思想政治工作，筑牢思想根基。</w:t>
      </w:r>
    </w:p>
    <w:p w14:paraId="57B8E80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（7）充分发挥纪委监督职能作用</w:t>
      </w:r>
    </w:p>
    <w:p w14:paraId="487AA0B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一是加强廉政风险防控工作。组织社区工作人员、经联社工作人员召开纪律教育专题培训，每月开展廉政风险点排查信息，进一步抓紧落实经联社的廉政风险排查，提高风险防范意识。</w:t>
      </w:r>
    </w:p>
    <w:p w14:paraId="4899D80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二是加强纪委教育宣传力度。社区党委将党风廉政建设知识融入到基层党组织学习内容中，并结合相关考核管理办法全面做好各基层党组织的党员纪律教育管理工作。</w:t>
      </w:r>
    </w:p>
    <w:p w14:paraId="01DB041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yellow"/>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是开展理想信念教育和党风廉政警示教育。组织各党支部书记开展党风廉政建设座谈会，观看警示教育电教片，进一步增强党员干部的法律意识和纪律意识，对党员干部作风纪律上问题早发现、对苗头性问题及时约谈提醒。</w:t>
      </w:r>
    </w:p>
    <w:p w14:paraId="38883A6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2.加强基层党组织建设，筑牢坚强战斗堡垒</w:t>
      </w:r>
    </w:p>
    <w:p w14:paraId="2AE24AD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（8）严抓落实“三会一课”制度</w:t>
      </w:r>
    </w:p>
    <w:p w14:paraId="6F4424E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一是</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加强“三会一课”学习指引。结合“五主题三作用”要求，每月下发各基层党组织“三会一课”学习材料，指导各基层党组织规范开展“三会一课”，落实“第一议题”学习、每季度讲一次主题党课。</w:t>
      </w:r>
    </w:p>
    <w:p w14:paraId="0C9E696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二是</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压实班子督导责任。每季度收集各党支部“三会一课”学习及活动开展情况，由社区党委班子成员严格督导分管党支部落实组织生活制度，对党支部开展指导工作，提高各党支部对谈心谈话工作的开展质量。</w:t>
      </w:r>
    </w:p>
    <w:p w14:paraId="3ADB4A5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三是规范会议记录。组织各党支部书记、党务工作者开展党务知识培训，规范学习会议记录撰写要求，每季度检查提醒做好会议记录、列明缺席党员的姓名及缺席原因，实行专人记录、专人负责。</w:t>
      </w:r>
    </w:p>
    <w:p w14:paraId="1170E1D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（9）严格发展党员审核机制</w:t>
      </w:r>
    </w:p>
    <w:p w14:paraId="01CAA54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一是加强党务工作者专业能力。组织各基层党组织书记、党务工作者开展党务知识培训，学习</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发展党员流程及有关知识，提高各</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基层党组织</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党务工作者</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的</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业务能力水平。</w:t>
      </w:r>
    </w:p>
    <w:p w14:paraId="5E706ED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是严格审核党员发展材料。制定相关发展党员流程审查制度，建立“党支部—基层党委”二级审查机制，明确党支部提交的每个阶段发展材料进行“组织委员—分管党务的党委副书记—党委书记”三级复审程序。</w:t>
      </w:r>
    </w:p>
    <w:p w14:paraId="74FE841E">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64" w:firstLineChars="200"/>
        <w:textAlignment w:val="auto"/>
        <w:rPr>
          <w:rFonts w:hint="default"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（四）</w:t>
      </w:r>
      <w:r>
        <w:rPr>
          <w:rFonts w:hint="eastAsia" w:ascii="Times New Roman" w:hAnsi="楷体_GB2312" w:eastAsia="楷体_GB2312" w:cs="Times New Roman"/>
          <w:b w:val="0"/>
          <w:bCs w:val="0"/>
          <w:sz w:val="32"/>
          <w:szCs w:val="32"/>
          <w:lang w:val="en-US" w:eastAsia="zh-CN"/>
        </w:rPr>
        <w:t>聚焦</w:t>
      </w:r>
      <w:r>
        <w:rPr>
          <w:rFonts w:ascii="Times New Roman" w:hAnsi="楷体_GB2312" w:eastAsia="楷体_GB2312" w:cs="Times New Roman"/>
          <w:b w:val="0"/>
          <w:bCs w:val="0"/>
          <w:sz w:val="32"/>
          <w:szCs w:val="32"/>
          <w:lang w:val="en-US" w:eastAsia="zh-CN"/>
        </w:rPr>
        <w:t>巡察、审计等监督发现问题整改落实情况方面</w:t>
      </w:r>
    </w:p>
    <w:p w14:paraId="5EC61C0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1.抓好宣传阵地建设，营造良好宣传氛围</w:t>
      </w:r>
    </w:p>
    <w:p w14:paraId="411BF00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（10）加强宣传阵地管理</w:t>
      </w:r>
    </w:p>
    <w:p w14:paraId="74439C7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一是常态化开展巡查，结合每周二驻点日开展人居环境整治行动，对重点宣传阵地开展巡查和现场整改，集中整改期内累计开展</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人居环境整治行动</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10次</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发动企事业单位、共建单位18家，发动志愿者236人次，累计清理</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“牛皮癣”</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69处、清理废弃垃圾面积超过600平方米。</w:t>
      </w:r>
    </w:p>
    <w:p w14:paraId="2A13AB6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二</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是</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优化</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宣传栏便民板块</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。在辖区3个宣传栏板块上新增便民</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“小广告”张贴</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处</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方便群众张贴和更新共享信息，</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减少乱张贴的现象。</w:t>
      </w:r>
    </w:p>
    <w:p w14:paraId="21144C4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default" w:ascii="黑体" w:hAnsi="黑体" w:eastAsia="黑体" w:cs="黑体"/>
          <w:b w:val="0"/>
          <w:bCs w:val="0"/>
          <w:snapToGrid w:val="0"/>
          <w:color w:val="auto"/>
          <w:spacing w:val="6"/>
          <w:kern w:val="32"/>
          <w:sz w:val="32"/>
          <w:szCs w:val="32"/>
          <w:highlight w:val="none"/>
          <w:lang w:val="en-US" w:eastAsia="zh-CN" w:bidi="ar-SA"/>
        </w:rPr>
      </w:pPr>
      <w:r>
        <w:rPr>
          <w:rFonts w:hint="eastAsia" w:ascii="黑体" w:hAnsi="黑体" w:eastAsia="黑体" w:cs="黑体"/>
          <w:b w:val="0"/>
          <w:bCs w:val="0"/>
          <w:snapToGrid w:val="0"/>
          <w:color w:val="auto"/>
          <w:spacing w:val="6"/>
          <w:kern w:val="32"/>
          <w:sz w:val="32"/>
          <w:szCs w:val="32"/>
          <w:highlight w:val="none"/>
          <w:lang w:val="en-US" w:eastAsia="zh-CN" w:bidi="ar-SA"/>
        </w:rPr>
        <w:t>三、下一步工作打算</w:t>
      </w:r>
    </w:p>
    <w:p w14:paraId="265680D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下一阶段，花苑社区党委将认真贯彻落实市委巡察整改工作要求，进一步增强管党治党意识，落实全面从严治党要求，保持力度不减、节奏不变，继续以高标准、严要求推动整改任务落实，</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全力做好巡察整改的“后半篇文章”，</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确保整改成果运用到位。</w:t>
      </w:r>
    </w:p>
    <w:p w14:paraId="75E6226B">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leftChars="0" w:firstLine="664" w:firstLineChars="200"/>
        <w:textAlignment w:val="auto"/>
        <w:rPr>
          <w:rFonts w:hint="eastAsia"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提高政治站位，加强党的全面领导</w:t>
      </w:r>
    </w:p>
    <w:p w14:paraId="51F67B3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持续学习贯彻习近平新时代中国特色社会主义思想，不断提高政治站位，严格落实全面从严治党的主体责任，强化社区党委职责和阵地意识，不断加强社区党委理论学习和思想政治建设，深入抓好党员日常教育监督管理，严明政治纪律和政治规矩。</w:t>
      </w:r>
    </w:p>
    <w:p w14:paraId="1B7B42A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default"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（二）坚持问题导向，健全长效机制</w:t>
      </w:r>
    </w:p>
    <w:p w14:paraId="3826067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6"/>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加强统筹领导，以问题为导向和系统管理思维，举一反三，由个性问题到共性问题，建立和完善相关工作的规章制度，切实抓好社区干部的监督管理，把各项工作任务抓实抓细抓到位。</w:t>
      </w:r>
    </w:p>
    <w:p w14:paraId="049085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rPr>
          <w:rFonts w:hint="eastAsia" w:ascii="楷体_GB2312" w:hAnsi="楷体_GB2312" w:eastAsia="楷体_GB2312" w:cs="楷体_GB2312"/>
          <w:b w:val="0"/>
          <w:bCs w:val="0"/>
          <w:snapToGrid w:val="0"/>
          <w:color w:val="auto"/>
          <w:spacing w:val="6"/>
          <w:kern w:val="32"/>
          <w:sz w:val="32"/>
          <w:szCs w:val="32"/>
          <w:highlight w:val="none"/>
          <w:lang w:val="en-US" w:eastAsia="zh-CN" w:bidi="ar-SA"/>
        </w:rPr>
      </w:pPr>
      <w:r>
        <w:rPr>
          <w:rFonts w:hint="eastAsia" w:ascii="楷体_GB2312" w:hAnsi="楷体_GB2312" w:eastAsia="楷体_GB2312" w:cs="楷体_GB2312"/>
          <w:b w:val="0"/>
          <w:bCs w:val="0"/>
          <w:snapToGrid w:val="0"/>
          <w:color w:val="auto"/>
          <w:spacing w:val="6"/>
          <w:kern w:val="32"/>
          <w:sz w:val="32"/>
          <w:szCs w:val="32"/>
          <w:highlight w:val="none"/>
          <w:lang w:val="en-US" w:eastAsia="zh-CN" w:bidi="ar-SA"/>
        </w:rPr>
        <w:t>（三）坚持以改促效，深化整改成果运用</w:t>
      </w:r>
    </w:p>
    <w:p w14:paraId="032C7AF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 xml:space="preserve">加大巡察整改的成效运用，对整改期间建立的各项制度，坚决落实做好。对已完成整改的任务定期开展“回头看”，防止问题反弹回潮。针对社区治理过程中存在的短板，及时总结工作经验，真正使整改成为提高团队凝聚力、战斗力、创造力的过程，成为促进干部作风转变的过程，成为统筹推动党建引领、社区治理、人居环境、民生实事等各项工作迈上新台阶的政治保障。 </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 xml:space="preserve"> </w:t>
      </w:r>
    </w:p>
    <w:p w14:paraId="6EE80C3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pP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欢迎广大干部群众对巡察整改落实情况进行监督。如有意见建议，请及时向我们反映。公开期限：</w:t>
      </w:r>
      <w:r>
        <w:rPr>
          <w:rFonts w:hint="default" w:ascii="Times New Roman" w:hAnsi="Times New Roman" w:eastAsia="仿宋_GB2312" w:cs="Times New Roman"/>
          <w:bCs/>
          <w:spacing w:val="6"/>
          <w:kern w:val="32"/>
          <w:sz w:val="32"/>
          <w:szCs w:val="32"/>
          <w:lang w:val="en-US" w:eastAsia="zh-CN"/>
        </w:rPr>
        <w:t>2024年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lang w:val="en-US" w:eastAsia="zh-CN"/>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lang w:val="en-US" w:eastAsia="zh-CN"/>
        </w:rPr>
        <w:t>日至</w:t>
      </w:r>
      <w:r>
        <w:rPr>
          <w:rFonts w:hint="eastAsia" w:ascii="Times New Roman" w:hAnsi="Times New Roman" w:eastAsia="仿宋_GB2312" w:cs="Times New Roman"/>
          <w:bCs/>
          <w:spacing w:val="6"/>
          <w:kern w:val="32"/>
          <w:sz w:val="32"/>
          <w:szCs w:val="32"/>
          <w:lang w:val="en-US" w:eastAsia="zh-CN"/>
        </w:rPr>
        <w:t>9月13</w:t>
      </w:r>
      <w:r>
        <w:rPr>
          <w:rFonts w:hint="default" w:ascii="Times New Roman" w:hAnsi="Times New Roman" w:eastAsia="仿宋_GB2312" w:cs="Times New Roman"/>
          <w:bCs/>
          <w:spacing w:val="6"/>
          <w:kern w:val="32"/>
          <w:sz w:val="32"/>
          <w:szCs w:val="32"/>
          <w:lang w:val="en-US" w:eastAsia="zh-CN"/>
        </w:rPr>
        <w:t>日</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。联系电话：0760-88320996（工作时间：周一至周五上午</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8:30-12:00，</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下午</w:t>
      </w:r>
      <w:r>
        <w:rPr>
          <w:rFonts w:hint="default" w:ascii="Times New Roman" w:hAnsi="Times New Roman" w:eastAsia="仿宋_GB2312" w:cs="Times New Roman"/>
          <w:b w:val="0"/>
          <w:bCs w:val="0"/>
          <w:snapToGrid w:val="0"/>
          <w:color w:val="auto"/>
          <w:spacing w:val="0"/>
          <w:kern w:val="32"/>
          <w:sz w:val="32"/>
          <w:szCs w:val="32"/>
          <w:highlight w:val="none"/>
          <w:lang w:val="en-US" w:eastAsia="zh-CN" w:bidi="ar-SA"/>
        </w:rPr>
        <w:t>14:30-17:30</w:t>
      </w:r>
      <w:r>
        <w:rPr>
          <w:rFonts w:hint="eastAsia" w:ascii="Times New Roman" w:hAnsi="Times New Roman" w:eastAsia="仿宋_GB2312" w:cs="Times New Roman"/>
          <w:b w:val="0"/>
          <w:bCs w:val="0"/>
          <w:snapToGrid w:val="0"/>
          <w:color w:val="auto"/>
          <w:spacing w:val="0"/>
          <w:kern w:val="32"/>
          <w:sz w:val="32"/>
          <w:szCs w:val="32"/>
          <w:highlight w:val="none"/>
          <w:lang w:val="en-US" w:eastAsia="zh-CN" w:bidi="ar-SA"/>
        </w:rPr>
        <w:t>）；邮政信箱：中山市东区柏苑路73号花苑社区党群服务中心二楼（信封上注明“对中共中山市东区街道花苑社区委员会关于巡察整改落实情况的意见建议”）；邮政编码：528400。</w:t>
      </w:r>
    </w:p>
    <w:p w14:paraId="541E8CD5">
      <w:pPr>
        <w:pStyle w:val="2"/>
        <w:rPr>
          <w:rFonts w:hint="default"/>
          <w:b w:val="0"/>
          <w:bCs w:val="0"/>
          <w:lang w:val="en-US" w:eastAsia="zh-CN"/>
        </w:rPr>
      </w:pPr>
    </w:p>
    <w:p w14:paraId="0C075FE8">
      <w:pPr>
        <w:keepNext w:val="0"/>
        <w:keepLines w:val="0"/>
        <w:pageBreakBefore w:val="0"/>
        <w:widowControl w:val="0"/>
        <w:kinsoku/>
        <w:wordWrap/>
        <w:overflowPunct/>
        <w:topLinePunct w:val="0"/>
        <w:autoSpaceDE/>
        <w:autoSpaceDN/>
        <w:bidi w:val="0"/>
        <w:adjustRightInd w:val="0"/>
        <w:snapToGrid w:val="0"/>
        <w:spacing w:line="336" w:lineRule="auto"/>
        <w:ind w:left="0" w:leftChars="0" w:right="0" w:firstLine="664" w:firstLineChars="200"/>
        <w:contextualSpacing/>
        <w:jc w:val="center"/>
        <w:textAlignment w:val="auto"/>
        <w:rPr>
          <w:rFonts w:hint="default" w:ascii="Times New Roman" w:hAnsi="Times New Roman" w:eastAsia="仿宋_GB2312" w:cs="Times New Roman"/>
          <w:b w:val="0"/>
          <w:bCs w:val="0"/>
          <w:color w:val="auto"/>
          <w:spacing w:val="6"/>
          <w:w w:val="100"/>
          <w:kern w:val="32"/>
          <w:position w:val="0"/>
          <w:sz w:val="32"/>
          <w:szCs w:val="32"/>
          <w:highlight w:val="none"/>
          <w:lang w:val="en-US" w:eastAsia="zh-CN"/>
        </w:rPr>
      </w:pPr>
      <w:r>
        <w:rPr>
          <w:rFonts w:hint="eastAsia" w:ascii="Times New Roman" w:hAnsi="Times New Roman" w:eastAsia="仿宋_GB2312" w:cs="Times New Roman"/>
          <w:b w:val="0"/>
          <w:bCs w:val="0"/>
          <w:color w:val="auto"/>
          <w:spacing w:val="6"/>
          <w:w w:val="100"/>
          <w:kern w:val="32"/>
          <w:position w:val="0"/>
          <w:sz w:val="32"/>
          <w:szCs w:val="32"/>
          <w:highlight w:val="none"/>
          <w:lang w:val="en-US" w:eastAsia="zh-CN"/>
        </w:rPr>
        <w:t xml:space="preserve">        </w:t>
      </w:r>
      <w:r>
        <w:rPr>
          <w:rFonts w:hint="default" w:ascii="Times New Roman" w:hAnsi="Times New Roman" w:eastAsia="仿宋_GB2312" w:cs="Times New Roman"/>
          <w:b w:val="0"/>
          <w:bCs w:val="0"/>
          <w:color w:val="auto"/>
          <w:spacing w:val="6"/>
          <w:w w:val="100"/>
          <w:kern w:val="32"/>
          <w:position w:val="0"/>
          <w:sz w:val="32"/>
          <w:szCs w:val="32"/>
          <w:highlight w:val="none"/>
          <w:lang w:val="en-US" w:eastAsia="zh-CN"/>
        </w:rPr>
        <w:t>中共中山市东区街道花苑社区委员会</w:t>
      </w:r>
    </w:p>
    <w:p w14:paraId="005AFBC8">
      <w:pPr>
        <w:keepNext w:val="0"/>
        <w:keepLines w:val="0"/>
        <w:pageBreakBefore w:val="0"/>
        <w:widowControl w:val="0"/>
        <w:kinsoku/>
        <w:wordWrap/>
        <w:overflowPunct/>
        <w:topLinePunct w:val="0"/>
        <w:autoSpaceDE/>
        <w:autoSpaceDN/>
        <w:bidi w:val="0"/>
        <w:adjustRightInd w:val="0"/>
        <w:snapToGrid w:val="0"/>
        <w:spacing w:line="336" w:lineRule="auto"/>
        <w:ind w:left="0" w:leftChars="0" w:right="0" w:firstLine="664" w:firstLineChars="200"/>
        <w:contextualSpacing/>
        <w:jc w:val="center"/>
        <w:textAlignment w:val="auto"/>
        <w:rPr>
          <w:rFonts w:hint="default"/>
          <w:b w:val="0"/>
          <w:bCs w:val="0"/>
          <w:color w:val="auto"/>
          <w:highlight w:val="none"/>
          <w:lang w:val="en-US" w:eastAsia="zh-CN"/>
        </w:rPr>
      </w:pPr>
      <w:r>
        <w:rPr>
          <w:rFonts w:hint="default" w:ascii="Times New Roman" w:hAnsi="Times New Roman" w:eastAsia="仿宋_GB2312" w:cs="Times New Roman"/>
          <w:bCs/>
          <w:spacing w:val="6"/>
          <w:kern w:val="32"/>
          <w:sz w:val="32"/>
          <w:szCs w:val="32"/>
          <w:lang w:val="en-US" w:eastAsia="zh-CN"/>
        </w:rPr>
        <w:t>2024年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lang w:val="en-US" w:eastAsia="zh-CN"/>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lang w:val="en-US" w:eastAsia="zh-CN"/>
        </w:rPr>
        <w:t>日</w:t>
      </w:r>
    </w:p>
    <w:sectPr>
      <w:headerReference r:id="rId3" w:type="default"/>
      <w:footerReference r:id="rId4"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E6B8C-1840-41DC-BFAB-32E90D0A47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4E571CB3-FD0C-497C-8100-1F4BCE9B3534}"/>
  </w:font>
  <w:font w:name="仿宋_GB2312">
    <w:panose1 w:val="02010609030101010101"/>
    <w:charset w:val="86"/>
    <w:family w:val="auto"/>
    <w:pitch w:val="default"/>
    <w:sig w:usb0="00000001" w:usb1="080E0000" w:usb2="00000000" w:usb3="00000000" w:csb0="00040000" w:csb1="00000000"/>
    <w:embedRegular r:id="rId3" w:fontKey="{7B6C3723-0739-4114-B787-613BB530A9C3}"/>
  </w:font>
  <w:font w:name="楷体_GB2312">
    <w:panose1 w:val="02010609030101010101"/>
    <w:charset w:val="86"/>
    <w:family w:val="modern"/>
    <w:pitch w:val="default"/>
    <w:sig w:usb0="00000001" w:usb1="080E0000" w:usb2="00000000" w:usb3="00000000" w:csb0="00040000" w:csb1="00000000"/>
    <w:embedRegular r:id="rId4" w:fontKey="{7514F680-79B4-470C-8935-1790CA9FEEED}"/>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5" w:fontKey="{9E50D3F3-B605-41D0-8663-AAB37E673B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907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E5207">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E5207">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3ED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226B1"/>
    <w:multiLevelType w:val="singleLevel"/>
    <w:tmpl w:val="96C226B1"/>
    <w:lvl w:ilvl="0" w:tentative="0">
      <w:start w:val="1"/>
      <w:numFmt w:val="chineseCounting"/>
      <w:suff w:val="nothing"/>
      <w:lvlText w:val="%1、"/>
      <w:lvlJc w:val="left"/>
      <w:rPr>
        <w:rFonts w:hint="eastAsia"/>
      </w:rPr>
    </w:lvl>
  </w:abstractNum>
  <w:abstractNum w:abstractNumId="1">
    <w:nsid w:val="4D156426"/>
    <w:multiLevelType w:val="singleLevel"/>
    <w:tmpl w:val="4D15642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dmYTk4MjVhOTEyMWMwYWIwZjUxZjNlYmE5OWQifQ=="/>
  </w:docVars>
  <w:rsids>
    <w:rsidRoot w:val="28711088"/>
    <w:rsid w:val="000A002F"/>
    <w:rsid w:val="001D7D62"/>
    <w:rsid w:val="002D269B"/>
    <w:rsid w:val="004B2B21"/>
    <w:rsid w:val="00B22BA0"/>
    <w:rsid w:val="00B24BB6"/>
    <w:rsid w:val="00D05EFC"/>
    <w:rsid w:val="00DD4EDA"/>
    <w:rsid w:val="01050F22"/>
    <w:rsid w:val="012670EA"/>
    <w:rsid w:val="015A2EF6"/>
    <w:rsid w:val="018D0AE9"/>
    <w:rsid w:val="018F529B"/>
    <w:rsid w:val="019C060F"/>
    <w:rsid w:val="01AF13CC"/>
    <w:rsid w:val="02682509"/>
    <w:rsid w:val="02B65F8E"/>
    <w:rsid w:val="02DD0256"/>
    <w:rsid w:val="032F29BB"/>
    <w:rsid w:val="03F766A3"/>
    <w:rsid w:val="04A46CA4"/>
    <w:rsid w:val="04F17997"/>
    <w:rsid w:val="04F3249D"/>
    <w:rsid w:val="054C183E"/>
    <w:rsid w:val="05600E1D"/>
    <w:rsid w:val="059E7E73"/>
    <w:rsid w:val="05A50F26"/>
    <w:rsid w:val="05C80770"/>
    <w:rsid w:val="065B2B05"/>
    <w:rsid w:val="06857347"/>
    <w:rsid w:val="06952B6E"/>
    <w:rsid w:val="07184AE3"/>
    <w:rsid w:val="07736A7C"/>
    <w:rsid w:val="07A87452"/>
    <w:rsid w:val="07AA5C0E"/>
    <w:rsid w:val="07BE5FBE"/>
    <w:rsid w:val="08A63D09"/>
    <w:rsid w:val="08C571E9"/>
    <w:rsid w:val="08D51B22"/>
    <w:rsid w:val="09035845"/>
    <w:rsid w:val="095F361A"/>
    <w:rsid w:val="09905A49"/>
    <w:rsid w:val="09F32F86"/>
    <w:rsid w:val="0A500546"/>
    <w:rsid w:val="0A80786B"/>
    <w:rsid w:val="0AA07F0D"/>
    <w:rsid w:val="0ADF21A3"/>
    <w:rsid w:val="0B825543"/>
    <w:rsid w:val="0B8C1969"/>
    <w:rsid w:val="0C1E10EA"/>
    <w:rsid w:val="0C3C3C66"/>
    <w:rsid w:val="0C593122"/>
    <w:rsid w:val="0CB11F5E"/>
    <w:rsid w:val="0CD83D13"/>
    <w:rsid w:val="0D313D18"/>
    <w:rsid w:val="0D646FD0"/>
    <w:rsid w:val="0DE820DC"/>
    <w:rsid w:val="0E282DCE"/>
    <w:rsid w:val="0ECD6DF7"/>
    <w:rsid w:val="0F135152"/>
    <w:rsid w:val="0F484622"/>
    <w:rsid w:val="0F633B71"/>
    <w:rsid w:val="0F9470D3"/>
    <w:rsid w:val="0F9A13DA"/>
    <w:rsid w:val="0FA01C21"/>
    <w:rsid w:val="0FE52E17"/>
    <w:rsid w:val="0FEB540B"/>
    <w:rsid w:val="100E6912"/>
    <w:rsid w:val="10A225A6"/>
    <w:rsid w:val="10A235DA"/>
    <w:rsid w:val="10DB3A4D"/>
    <w:rsid w:val="10F3630E"/>
    <w:rsid w:val="11020DFC"/>
    <w:rsid w:val="11735EB1"/>
    <w:rsid w:val="11D010D8"/>
    <w:rsid w:val="11ED440A"/>
    <w:rsid w:val="127E386E"/>
    <w:rsid w:val="12E60488"/>
    <w:rsid w:val="130E2919"/>
    <w:rsid w:val="13253BB0"/>
    <w:rsid w:val="13A754F1"/>
    <w:rsid w:val="14296EC0"/>
    <w:rsid w:val="14522278"/>
    <w:rsid w:val="14782A05"/>
    <w:rsid w:val="14ED3D4F"/>
    <w:rsid w:val="15224038"/>
    <w:rsid w:val="153A336F"/>
    <w:rsid w:val="15573564"/>
    <w:rsid w:val="1609608D"/>
    <w:rsid w:val="161F42DB"/>
    <w:rsid w:val="16443170"/>
    <w:rsid w:val="17944956"/>
    <w:rsid w:val="17AE2660"/>
    <w:rsid w:val="17DC4774"/>
    <w:rsid w:val="17E256C1"/>
    <w:rsid w:val="17E6094F"/>
    <w:rsid w:val="1807699D"/>
    <w:rsid w:val="181B0BD3"/>
    <w:rsid w:val="18273A1C"/>
    <w:rsid w:val="1843750D"/>
    <w:rsid w:val="193C34F7"/>
    <w:rsid w:val="1968254C"/>
    <w:rsid w:val="196F3123"/>
    <w:rsid w:val="197B0E5C"/>
    <w:rsid w:val="19D05BA1"/>
    <w:rsid w:val="1A0B5B4A"/>
    <w:rsid w:val="1A2456AC"/>
    <w:rsid w:val="1A47212C"/>
    <w:rsid w:val="1A4B1C44"/>
    <w:rsid w:val="1A8C6C32"/>
    <w:rsid w:val="1AEB1DA4"/>
    <w:rsid w:val="1B6C40A6"/>
    <w:rsid w:val="1B7717F3"/>
    <w:rsid w:val="1B7C5E2D"/>
    <w:rsid w:val="1BAF6F48"/>
    <w:rsid w:val="1BDC68CC"/>
    <w:rsid w:val="1C3309D3"/>
    <w:rsid w:val="1C4B0D8E"/>
    <w:rsid w:val="1C553BB5"/>
    <w:rsid w:val="1CB4189C"/>
    <w:rsid w:val="1D1803D4"/>
    <w:rsid w:val="1DF93765"/>
    <w:rsid w:val="1EAC455F"/>
    <w:rsid w:val="1F187491"/>
    <w:rsid w:val="1F3A674C"/>
    <w:rsid w:val="1F5E41C7"/>
    <w:rsid w:val="20210D51"/>
    <w:rsid w:val="206D7DC3"/>
    <w:rsid w:val="20B049D1"/>
    <w:rsid w:val="20C52ED3"/>
    <w:rsid w:val="217E6851"/>
    <w:rsid w:val="21C83B7A"/>
    <w:rsid w:val="21CF4F08"/>
    <w:rsid w:val="21F41797"/>
    <w:rsid w:val="226C09E2"/>
    <w:rsid w:val="227F2D5D"/>
    <w:rsid w:val="22F8223D"/>
    <w:rsid w:val="234C680A"/>
    <w:rsid w:val="23690F67"/>
    <w:rsid w:val="23C30A9D"/>
    <w:rsid w:val="23EF053D"/>
    <w:rsid w:val="24485B15"/>
    <w:rsid w:val="24D5612F"/>
    <w:rsid w:val="24D64800"/>
    <w:rsid w:val="25207829"/>
    <w:rsid w:val="25434539"/>
    <w:rsid w:val="25B10E34"/>
    <w:rsid w:val="264676FE"/>
    <w:rsid w:val="26661BB3"/>
    <w:rsid w:val="26F471BF"/>
    <w:rsid w:val="27102ED4"/>
    <w:rsid w:val="27371BE6"/>
    <w:rsid w:val="27A75FE0"/>
    <w:rsid w:val="27BF77CD"/>
    <w:rsid w:val="27E3087F"/>
    <w:rsid w:val="281713B7"/>
    <w:rsid w:val="285001BB"/>
    <w:rsid w:val="28711088"/>
    <w:rsid w:val="28761BA9"/>
    <w:rsid w:val="288D78CB"/>
    <w:rsid w:val="289B2223"/>
    <w:rsid w:val="293737EB"/>
    <w:rsid w:val="29666450"/>
    <w:rsid w:val="2984482A"/>
    <w:rsid w:val="29A23D7D"/>
    <w:rsid w:val="29B82726"/>
    <w:rsid w:val="2AB96B2B"/>
    <w:rsid w:val="2AFC22D8"/>
    <w:rsid w:val="2B1264B8"/>
    <w:rsid w:val="2B681F2A"/>
    <w:rsid w:val="2BB1742D"/>
    <w:rsid w:val="2C9F197B"/>
    <w:rsid w:val="2CAF328D"/>
    <w:rsid w:val="2CE11F94"/>
    <w:rsid w:val="2D4D13D7"/>
    <w:rsid w:val="2D922480"/>
    <w:rsid w:val="2DEF7B6A"/>
    <w:rsid w:val="2DFA397D"/>
    <w:rsid w:val="2E315ACF"/>
    <w:rsid w:val="2E6E5AA9"/>
    <w:rsid w:val="2E7C01C6"/>
    <w:rsid w:val="2E7F1A64"/>
    <w:rsid w:val="2EAF428D"/>
    <w:rsid w:val="2ED7364E"/>
    <w:rsid w:val="2EE6563F"/>
    <w:rsid w:val="2EF736DA"/>
    <w:rsid w:val="2F193C67"/>
    <w:rsid w:val="2F587BDE"/>
    <w:rsid w:val="2FAF45CB"/>
    <w:rsid w:val="31586144"/>
    <w:rsid w:val="316F1281"/>
    <w:rsid w:val="31774E13"/>
    <w:rsid w:val="31EB2537"/>
    <w:rsid w:val="32CB21D1"/>
    <w:rsid w:val="33572FB0"/>
    <w:rsid w:val="33A81C4F"/>
    <w:rsid w:val="33FF4139"/>
    <w:rsid w:val="340A4815"/>
    <w:rsid w:val="345839B8"/>
    <w:rsid w:val="347436ED"/>
    <w:rsid w:val="34D4568E"/>
    <w:rsid w:val="35471F90"/>
    <w:rsid w:val="35833B97"/>
    <w:rsid w:val="35C76A49"/>
    <w:rsid w:val="35DC59EE"/>
    <w:rsid w:val="35E349D7"/>
    <w:rsid w:val="36E903C3"/>
    <w:rsid w:val="3727713D"/>
    <w:rsid w:val="37647A49"/>
    <w:rsid w:val="377D6D5D"/>
    <w:rsid w:val="379A346B"/>
    <w:rsid w:val="37D22C05"/>
    <w:rsid w:val="382A4F1B"/>
    <w:rsid w:val="38AE3672"/>
    <w:rsid w:val="38EF2D43"/>
    <w:rsid w:val="38F12C45"/>
    <w:rsid w:val="391B753E"/>
    <w:rsid w:val="39ED3D76"/>
    <w:rsid w:val="3B8605D7"/>
    <w:rsid w:val="3B8B7064"/>
    <w:rsid w:val="3C50053D"/>
    <w:rsid w:val="3C8A5D43"/>
    <w:rsid w:val="3CA9612B"/>
    <w:rsid w:val="3CB274A9"/>
    <w:rsid w:val="3CD443E6"/>
    <w:rsid w:val="3D076AAE"/>
    <w:rsid w:val="3D255ECD"/>
    <w:rsid w:val="3D6469F5"/>
    <w:rsid w:val="3D9A384D"/>
    <w:rsid w:val="3DA05553"/>
    <w:rsid w:val="3DBD0841"/>
    <w:rsid w:val="3DCB056D"/>
    <w:rsid w:val="3DD01C1E"/>
    <w:rsid w:val="3DDD67A7"/>
    <w:rsid w:val="3E0E0365"/>
    <w:rsid w:val="3E5B6E8F"/>
    <w:rsid w:val="3E970704"/>
    <w:rsid w:val="3EAB1934"/>
    <w:rsid w:val="3F2F4DE1"/>
    <w:rsid w:val="3F7B3FB4"/>
    <w:rsid w:val="3FA84969"/>
    <w:rsid w:val="3FCD204D"/>
    <w:rsid w:val="3FE55B0F"/>
    <w:rsid w:val="400E2C48"/>
    <w:rsid w:val="402B2C89"/>
    <w:rsid w:val="410272B3"/>
    <w:rsid w:val="415E7BFF"/>
    <w:rsid w:val="423821FE"/>
    <w:rsid w:val="42445E92"/>
    <w:rsid w:val="425D1AEE"/>
    <w:rsid w:val="429839B4"/>
    <w:rsid w:val="42A7227D"/>
    <w:rsid w:val="437649B0"/>
    <w:rsid w:val="43953B9C"/>
    <w:rsid w:val="43E048FB"/>
    <w:rsid w:val="43EA7528"/>
    <w:rsid w:val="44421112"/>
    <w:rsid w:val="44900788"/>
    <w:rsid w:val="44AB6B5C"/>
    <w:rsid w:val="454B2248"/>
    <w:rsid w:val="456C6F60"/>
    <w:rsid w:val="45C94E39"/>
    <w:rsid w:val="45E22BAD"/>
    <w:rsid w:val="469B0FAE"/>
    <w:rsid w:val="46D248D2"/>
    <w:rsid w:val="477C0DDF"/>
    <w:rsid w:val="47D33DEE"/>
    <w:rsid w:val="47ED662D"/>
    <w:rsid w:val="48B22EB4"/>
    <w:rsid w:val="4916491B"/>
    <w:rsid w:val="4929464F"/>
    <w:rsid w:val="4960336B"/>
    <w:rsid w:val="496F60F3"/>
    <w:rsid w:val="49A30137"/>
    <w:rsid w:val="4A510301"/>
    <w:rsid w:val="4AE27323"/>
    <w:rsid w:val="4AF30483"/>
    <w:rsid w:val="4B1B26BD"/>
    <w:rsid w:val="4B4E2A56"/>
    <w:rsid w:val="4B9959A9"/>
    <w:rsid w:val="4BD5286C"/>
    <w:rsid w:val="4BE1285E"/>
    <w:rsid w:val="4BE46966"/>
    <w:rsid w:val="4BEA1026"/>
    <w:rsid w:val="4C0D2AAF"/>
    <w:rsid w:val="4C2442A0"/>
    <w:rsid w:val="4C3103EA"/>
    <w:rsid w:val="4C5B4906"/>
    <w:rsid w:val="4C5F67DB"/>
    <w:rsid w:val="4C6D6F48"/>
    <w:rsid w:val="4D810EFD"/>
    <w:rsid w:val="4D98130A"/>
    <w:rsid w:val="4DBC4C62"/>
    <w:rsid w:val="4DE152F7"/>
    <w:rsid w:val="4E0566F8"/>
    <w:rsid w:val="4E091525"/>
    <w:rsid w:val="4E0F475B"/>
    <w:rsid w:val="4E325763"/>
    <w:rsid w:val="4EA53C12"/>
    <w:rsid w:val="4EDF659D"/>
    <w:rsid w:val="4F02606E"/>
    <w:rsid w:val="4F52563A"/>
    <w:rsid w:val="4F9631B8"/>
    <w:rsid w:val="4FA167AA"/>
    <w:rsid w:val="4FF359B6"/>
    <w:rsid w:val="4FFA0AF3"/>
    <w:rsid w:val="50137E07"/>
    <w:rsid w:val="504323CF"/>
    <w:rsid w:val="506D3A82"/>
    <w:rsid w:val="512F0C70"/>
    <w:rsid w:val="51C55131"/>
    <w:rsid w:val="51D8087A"/>
    <w:rsid w:val="530F6FAB"/>
    <w:rsid w:val="53310B7F"/>
    <w:rsid w:val="533D58C6"/>
    <w:rsid w:val="53D8021B"/>
    <w:rsid w:val="53FD175D"/>
    <w:rsid w:val="5415239F"/>
    <w:rsid w:val="54194508"/>
    <w:rsid w:val="542919A7"/>
    <w:rsid w:val="54CD74DD"/>
    <w:rsid w:val="54D53703"/>
    <w:rsid w:val="54F55D2D"/>
    <w:rsid w:val="55264E71"/>
    <w:rsid w:val="55674D18"/>
    <w:rsid w:val="55A106D3"/>
    <w:rsid w:val="55A46EBE"/>
    <w:rsid w:val="55C645F4"/>
    <w:rsid w:val="56233DA9"/>
    <w:rsid w:val="56A837E8"/>
    <w:rsid w:val="56AD4B11"/>
    <w:rsid w:val="573174F0"/>
    <w:rsid w:val="57623FBB"/>
    <w:rsid w:val="5774562F"/>
    <w:rsid w:val="577B5F19"/>
    <w:rsid w:val="5785468B"/>
    <w:rsid w:val="57D850B1"/>
    <w:rsid w:val="581D136C"/>
    <w:rsid w:val="582B2191"/>
    <w:rsid w:val="583D1EC5"/>
    <w:rsid w:val="585039A6"/>
    <w:rsid w:val="5859713C"/>
    <w:rsid w:val="585E3A5D"/>
    <w:rsid w:val="59032417"/>
    <w:rsid w:val="596F60AE"/>
    <w:rsid w:val="59E20F76"/>
    <w:rsid w:val="5AD07919"/>
    <w:rsid w:val="5B174725"/>
    <w:rsid w:val="5B3823B7"/>
    <w:rsid w:val="5B450D3E"/>
    <w:rsid w:val="5B8A3D6E"/>
    <w:rsid w:val="5BAA4A8D"/>
    <w:rsid w:val="5BC1147D"/>
    <w:rsid w:val="5BC6578C"/>
    <w:rsid w:val="5CBC03EF"/>
    <w:rsid w:val="5CC91F79"/>
    <w:rsid w:val="5D4569AE"/>
    <w:rsid w:val="5DB12AFB"/>
    <w:rsid w:val="5DB22A0D"/>
    <w:rsid w:val="5DCC20E0"/>
    <w:rsid w:val="5E7136B3"/>
    <w:rsid w:val="5EA323D3"/>
    <w:rsid w:val="5EED5CCB"/>
    <w:rsid w:val="5F00638D"/>
    <w:rsid w:val="5FA647F3"/>
    <w:rsid w:val="5FC31045"/>
    <w:rsid w:val="60243717"/>
    <w:rsid w:val="604011A2"/>
    <w:rsid w:val="60554D72"/>
    <w:rsid w:val="60706C39"/>
    <w:rsid w:val="60805044"/>
    <w:rsid w:val="60A11E99"/>
    <w:rsid w:val="60AE1BB1"/>
    <w:rsid w:val="60C2565D"/>
    <w:rsid w:val="60E2108C"/>
    <w:rsid w:val="60EF5D26"/>
    <w:rsid w:val="610C68D8"/>
    <w:rsid w:val="6129748A"/>
    <w:rsid w:val="6155202D"/>
    <w:rsid w:val="615E35D8"/>
    <w:rsid w:val="61F950AE"/>
    <w:rsid w:val="626B7A8A"/>
    <w:rsid w:val="629B43B7"/>
    <w:rsid w:val="62B114E5"/>
    <w:rsid w:val="62CC02C3"/>
    <w:rsid w:val="64395C36"/>
    <w:rsid w:val="645F087C"/>
    <w:rsid w:val="64AB7435"/>
    <w:rsid w:val="64E47E68"/>
    <w:rsid w:val="65054B13"/>
    <w:rsid w:val="6518584B"/>
    <w:rsid w:val="65312B91"/>
    <w:rsid w:val="654A5952"/>
    <w:rsid w:val="659A76A4"/>
    <w:rsid w:val="65A44062"/>
    <w:rsid w:val="65AB19EB"/>
    <w:rsid w:val="66860EDB"/>
    <w:rsid w:val="67336E5F"/>
    <w:rsid w:val="67AE6BE5"/>
    <w:rsid w:val="67E60BCD"/>
    <w:rsid w:val="67F5796C"/>
    <w:rsid w:val="682A3181"/>
    <w:rsid w:val="683A3D2B"/>
    <w:rsid w:val="685E3EBD"/>
    <w:rsid w:val="68835D26"/>
    <w:rsid w:val="689A2236"/>
    <w:rsid w:val="68D827F6"/>
    <w:rsid w:val="6903598F"/>
    <w:rsid w:val="6925369D"/>
    <w:rsid w:val="692C69C6"/>
    <w:rsid w:val="693C476F"/>
    <w:rsid w:val="696372B1"/>
    <w:rsid w:val="696A3BBC"/>
    <w:rsid w:val="69894212"/>
    <w:rsid w:val="69AE2C22"/>
    <w:rsid w:val="69B813AB"/>
    <w:rsid w:val="6A067C3D"/>
    <w:rsid w:val="6A3A2708"/>
    <w:rsid w:val="6A4964A7"/>
    <w:rsid w:val="6A883473"/>
    <w:rsid w:val="6AD4713C"/>
    <w:rsid w:val="6B0C5450"/>
    <w:rsid w:val="6B6367B5"/>
    <w:rsid w:val="6B797260"/>
    <w:rsid w:val="6BAE16EB"/>
    <w:rsid w:val="6BC06C3D"/>
    <w:rsid w:val="6BE7241B"/>
    <w:rsid w:val="6C331A57"/>
    <w:rsid w:val="6C711CE5"/>
    <w:rsid w:val="6D1A52DC"/>
    <w:rsid w:val="6D321033"/>
    <w:rsid w:val="6D3E4A02"/>
    <w:rsid w:val="6D6C0E2A"/>
    <w:rsid w:val="6E005638"/>
    <w:rsid w:val="6E153270"/>
    <w:rsid w:val="6E1E6912"/>
    <w:rsid w:val="6E276AFF"/>
    <w:rsid w:val="6F1C0612"/>
    <w:rsid w:val="6F1C1811"/>
    <w:rsid w:val="6F2B29DB"/>
    <w:rsid w:val="6FC7059A"/>
    <w:rsid w:val="6FD12C00"/>
    <w:rsid w:val="6FF933EA"/>
    <w:rsid w:val="700A4447"/>
    <w:rsid w:val="70586F63"/>
    <w:rsid w:val="705A50E3"/>
    <w:rsid w:val="7084648B"/>
    <w:rsid w:val="70A328C8"/>
    <w:rsid w:val="70A94143"/>
    <w:rsid w:val="70B17CF0"/>
    <w:rsid w:val="70CD11D6"/>
    <w:rsid w:val="70DA739B"/>
    <w:rsid w:val="711C5CE6"/>
    <w:rsid w:val="712D1E38"/>
    <w:rsid w:val="715A543E"/>
    <w:rsid w:val="71F94C57"/>
    <w:rsid w:val="726C5429"/>
    <w:rsid w:val="72790F56"/>
    <w:rsid w:val="728704B4"/>
    <w:rsid w:val="72A252C0"/>
    <w:rsid w:val="73092C77"/>
    <w:rsid w:val="731A30D6"/>
    <w:rsid w:val="731C21EB"/>
    <w:rsid w:val="73CB2025"/>
    <w:rsid w:val="73CC5EE5"/>
    <w:rsid w:val="73F02E3E"/>
    <w:rsid w:val="740A4EF9"/>
    <w:rsid w:val="74103315"/>
    <w:rsid w:val="74784559"/>
    <w:rsid w:val="74DA0950"/>
    <w:rsid w:val="751F0EFC"/>
    <w:rsid w:val="752B653C"/>
    <w:rsid w:val="7544415F"/>
    <w:rsid w:val="754E350B"/>
    <w:rsid w:val="75785319"/>
    <w:rsid w:val="75834F63"/>
    <w:rsid w:val="75923407"/>
    <w:rsid w:val="76053BCA"/>
    <w:rsid w:val="768C53B7"/>
    <w:rsid w:val="76A038F3"/>
    <w:rsid w:val="76E9529A"/>
    <w:rsid w:val="77297D8C"/>
    <w:rsid w:val="77347CF0"/>
    <w:rsid w:val="773D7394"/>
    <w:rsid w:val="78016BD4"/>
    <w:rsid w:val="786B182E"/>
    <w:rsid w:val="78B96EEE"/>
    <w:rsid w:val="78C567A6"/>
    <w:rsid w:val="793379E4"/>
    <w:rsid w:val="79350CE9"/>
    <w:rsid w:val="79694470"/>
    <w:rsid w:val="796D1983"/>
    <w:rsid w:val="7983686A"/>
    <w:rsid w:val="7A013C64"/>
    <w:rsid w:val="7A1C14E2"/>
    <w:rsid w:val="7A3408DF"/>
    <w:rsid w:val="7A3D1072"/>
    <w:rsid w:val="7A6C488F"/>
    <w:rsid w:val="7A992B33"/>
    <w:rsid w:val="7ABE4C8F"/>
    <w:rsid w:val="7ADC2AB7"/>
    <w:rsid w:val="7B2B2647"/>
    <w:rsid w:val="7B3F192C"/>
    <w:rsid w:val="7B5F53D0"/>
    <w:rsid w:val="7B7A6E08"/>
    <w:rsid w:val="7C2E2504"/>
    <w:rsid w:val="7C6E4CB3"/>
    <w:rsid w:val="7C7A1FA0"/>
    <w:rsid w:val="7C9006F1"/>
    <w:rsid w:val="7D344D95"/>
    <w:rsid w:val="7DA466B9"/>
    <w:rsid w:val="7DBC5874"/>
    <w:rsid w:val="7DCB394B"/>
    <w:rsid w:val="7E3D5ECB"/>
    <w:rsid w:val="7EB119EA"/>
    <w:rsid w:val="7EB75EC9"/>
    <w:rsid w:val="7EB937A4"/>
    <w:rsid w:val="7EEE5FCC"/>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引文目录标题1"/>
    <w:basedOn w:val="1"/>
    <w:next w:val="1"/>
    <w:qFormat/>
    <w:uiPriority w:val="0"/>
    <w:pPr>
      <w:spacing w:before="120"/>
    </w:pPr>
    <w:rPr>
      <w:rFonts w:ascii="Cambria" w:hAnsi="Cambria" w:cs="Cambria"/>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table of authorities1"/>
    <w:basedOn w:val="1"/>
    <w:next w:val="1"/>
    <w:qFormat/>
    <w:uiPriority w:val="99"/>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4515</Words>
  <Characters>4607</Characters>
  <Lines>0</Lines>
  <Paragraphs>0</Paragraphs>
  <TotalTime>0</TotalTime>
  <ScaleCrop>false</ScaleCrop>
  <LinksUpToDate>false</LinksUpToDate>
  <CharactersWithSpaces>4628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2024-03-06T06:38:00Z</dcterms:created>
  <dc:creator>Fong xXin</dc:creator>
  <cp:lastModifiedBy>Mo_小丫</cp:lastModifiedBy>
  <cp:lastPrinted>2024-07-17T01:59:00Z</cp:lastPrinted>
  <dcterms:modified xsi:type="dcterms:W3CDTF">2024-08-30T01:29:11Z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FAC1A813772543E7A3D938424D4BD4ED_13</vt:lpwstr>
  </property>
</Properties>
</file>