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4" w:lineRule="exact"/>
        <w:jc w:val="center"/>
        <w:rPr>
          <w:rFonts w:hint="default" w:ascii="Times New Roman" w:hAnsi="Times New Roman" w:eastAsia="方正小标宋简体" w:cs="Times New Roman"/>
          <w:spacing w:val="-6"/>
          <w:sz w:val="44"/>
          <w:szCs w:val="44"/>
        </w:rPr>
      </w:pPr>
      <w:r>
        <w:rPr>
          <w:rFonts w:hint="default" w:ascii="Times New Roman" w:hAnsi="Times New Roman" w:eastAsia="方正小标宋简体" w:cs="Times New Roman"/>
          <w:spacing w:val="-6"/>
          <w:sz w:val="44"/>
          <w:szCs w:val="44"/>
          <w:lang w:val="en-US" w:eastAsia="zh-CN"/>
        </w:rPr>
        <w:t xml:space="preserve"> 西区街道</w:t>
      </w:r>
      <w:r>
        <w:rPr>
          <w:rFonts w:hint="default" w:ascii="Times New Roman" w:hAnsi="Times New Roman" w:eastAsia="方正小标宋简体" w:cs="Times New Roman"/>
          <w:spacing w:val="-6"/>
          <w:sz w:val="44"/>
          <w:szCs w:val="44"/>
        </w:rPr>
        <w:t>金昌工业聚集区改造升级三期项目“三旧”改造方案</w:t>
      </w:r>
    </w:p>
    <w:p>
      <w:pPr>
        <w:spacing w:line="574" w:lineRule="exact"/>
        <w:rPr>
          <w:rFonts w:hint="default" w:ascii="Times New Roman" w:hAnsi="Times New Roman" w:eastAsia="仿宋_GB2312" w:cs="Times New Roman"/>
          <w:spacing w:val="-6"/>
          <w:sz w:val="32"/>
          <w:szCs w:val="32"/>
        </w:rPr>
      </w:pPr>
    </w:p>
    <w:p>
      <w:pPr>
        <w:keepNext w:val="0"/>
        <w:keepLines w:val="0"/>
        <w:pageBreakBefore w:val="0"/>
        <w:widowControl/>
        <w:kinsoku/>
        <w:wordWrap/>
        <w:overflowPunct/>
        <w:topLinePunct w:val="0"/>
        <w:autoSpaceDN/>
        <w:bidi w:val="0"/>
        <w:adjustRightInd/>
        <w:snapToGrid/>
        <w:spacing w:line="240" w:lineRule="auto"/>
        <w:ind w:firstLine="616" w:firstLineChars="200"/>
        <w:jc w:val="left"/>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rPr>
        <w:t>根据中山市城市更新（“三旧”改造）专项规划和现行控制性详细规划，</w:t>
      </w:r>
      <w:r>
        <w:rPr>
          <w:rFonts w:hint="default" w:ascii="Times New Roman" w:hAnsi="Times New Roman" w:eastAsia="仿宋_GB2312" w:cs="Times New Roman"/>
          <w:spacing w:val="-6"/>
          <w:sz w:val="32"/>
          <w:szCs w:val="32"/>
        </w:rPr>
        <w:t>西区街道办事处拟对位于</w:t>
      </w:r>
      <w:r>
        <w:rPr>
          <w:rFonts w:hint="default" w:ascii="Times New Roman" w:hAnsi="Times New Roman" w:eastAsia="仿宋_GB2312" w:cs="Times New Roman"/>
          <w:spacing w:val="-6"/>
          <w:sz w:val="32"/>
        </w:rPr>
        <w:t>西区金昌工业区内</w:t>
      </w:r>
      <w:r>
        <w:rPr>
          <w:rFonts w:hint="default" w:ascii="Times New Roman" w:hAnsi="Times New Roman" w:eastAsia="仿宋_GB2312" w:cs="Times New Roman"/>
          <w:spacing w:val="-6"/>
          <w:sz w:val="32"/>
          <w:szCs w:val="32"/>
        </w:rPr>
        <w:t>的2宗分别登记在中山市西区集体资产经营有限公司、梁锦坤名下，用途为工业性质的国有建设用地进行改造，由政府整备改造，采取全面改造的改造方式。改造方案如下：</w:t>
      </w:r>
    </w:p>
    <w:p>
      <w:pPr>
        <w:keepNext w:val="0"/>
        <w:keepLines w:val="0"/>
        <w:pageBreakBefore w:val="0"/>
        <w:widowControl/>
        <w:kinsoku/>
        <w:wordWrap/>
        <w:overflowPunct/>
        <w:topLinePunct w:val="0"/>
        <w:autoSpaceDN/>
        <w:bidi w:val="0"/>
        <w:adjustRightInd/>
        <w:snapToGrid/>
        <w:spacing w:line="240" w:lineRule="auto"/>
        <w:ind w:firstLine="616" w:firstLineChars="200"/>
        <w:jc w:val="left"/>
        <w:textAlignment w:val="auto"/>
        <w:rPr>
          <w:rFonts w:hint="default" w:ascii="Times New Roman" w:hAnsi="Times New Roman" w:eastAsia="仿宋_GB2312" w:cs="Times New Roman"/>
          <w:spacing w:val="-6"/>
          <w:sz w:val="32"/>
          <w:szCs w:val="32"/>
        </w:rPr>
      </w:pPr>
      <w:r>
        <w:rPr>
          <w:rFonts w:hint="default" w:ascii="Times New Roman" w:hAnsi="Times New Roman" w:eastAsia="黑体" w:cs="Times New Roman"/>
          <w:spacing w:val="-6"/>
          <w:sz w:val="32"/>
          <w:szCs w:val="32"/>
        </w:rPr>
        <w:t>一、改造地块基本情况</w:t>
      </w:r>
      <w:r>
        <w:rPr>
          <w:rFonts w:hint="default" w:ascii="Times New Roman" w:hAnsi="Times New Roman" w:eastAsia="仿宋_GB2312" w:cs="Times New Roman"/>
          <w:spacing w:val="-6"/>
          <w:sz w:val="32"/>
          <w:szCs w:val="32"/>
        </w:rPr>
        <w:t xml:space="preserve"> </w:t>
      </w:r>
    </w:p>
    <w:p>
      <w:pPr>
        <w:keepNext w:val="0"/>
        <w:keepLines w:val="0"/>
        <w:pageBreakBefore w:val="0"/>
        <w:kinsoku/>
        <w:wordWrap/>
        <w:overflowPunct/>
        <w:topLinePunct w:val="0"/>
        <w:autoSpaceDN/>
        <w:bidi w:val="0"/>
        <w:adjustRightInd/>
        <w:snapToGrid/>
        <w:spacing w:line="240" w:lineRule="auto"/>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楷体_GB2312" w:cs="Times New Roman"/>
          <w:spacing w:val="-6"/>
          <w:sz w:val="32"/>
          <w:szCs w:val="32"/>
        </w:rPr>
        <w:t>（一）总体情况</w:t>
      </w:r>
      <w:r>
        <w:rPr>
          <w:rFonts w:hint="default" w:ascii="Times New Roman" w:hAnsi="Times New Roman" w:eastAsia="仿宋_GB2312" w:cs="Times New Roman"/>
          <w:spacing w:val="-6"/>
          <w:sz w:val="32"/>
          <w:szCs w:val="32"/>
        </w:rPr>
        <w:t xml:space="preserve"> </w:t>
      </w:r>
    </w:p>
    <w:p>
      <w:pPr>
        <w:keepNext w:val="0"/>
        <w:keepLines w:val="0"/>
        <w:pageBreakBefore w:val="0"/>
        <w:kinsoku/>
        <w:wordWrap/>
        <w:overflowPunct/>
        <w:topLinePunct w:val="0"/>
        <w:autoSpaceDN/>
        <w:bidi w:val="0"/>
        <w:adjustRightInd/>
        <w:snapToGrid/>
        <w:spacing w:line="240" w:lineRule="auto"/>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改造项目涉及2宗土地，均位于西区金昌工业路金昌工业区内，北至金昌工业路，南至永恒街，东至中山市西区社保服务站，西至裕福北路，</w:t>
      </w:r>
      <w:bookmarkStart w:id="0" w:name="_Hlk170205955"/>
      <w:r>
        <w:rPr>
          <w:rFonts w:hint="default" w:ascii="Times New Roman" w:hAnsi="Times New Roman" w:eastAsia="仿宋_GB2312" w:cs="Times New Roman"/>
          <w:spacing w:val="-6"/>
          <w:sz w:val="32"/>
          <w:szCs w:val="32"/>
        </w:rPr>
        <w:t>总用地面积为</w:t>
      </w:r>
      <w:bookmarkStart w:id="1" w:name="_Hlk103864325"/>
      <w:r>
        <w:rPr>
          <w:rFonts w:hint="default" w:ascii="Times New Roman" w:hAnsi="Times New Roman" w:eastAsia="仿宋_GB2312" w:cs="Times New Roman"/>
          <w:spacing w:val="-6"/>
          <w:sz w:val="32"/>
          <w:szCs w:val="32"/>
        </w:rPr>
        <w:t>0.6773公顷（6773平方米，折合约10.16亩）</w:t>
      </w:r>
      <w:bookmarkEnd w:id="0"/>
      <w:bookmarkEnd w:id="1"/>
      <w:r>
        <w:rPr>
          <w:rFonts w:hint="default" w:ascii="Times New Roman" w:hAnsi="Times New Roman" w:eastAsia="仿宋_GB2312" w:cs="Times New Roman"/>
          <w:spacing w:val="-6"/>
          <w:sz w:val="32"/>
          <w:szCs w:val="32"/>
        </w:rPr>
        <w:t>。</w:t>
      </w:r>
    </w:p>
    <w:p>
      <w:pPr>
        <w:keepNext w:val="0"/>
        <w:keepLines w:val="0"/>
        <w:pageBreakBefore w:val="0"/>
        <w:kinsoku/>
        <w:wordWrap/>
        <w:overflowPunct/>
        <w:topLinePunct w:val="0"/>
        <w:autoSpaceDN/>
        <w:bidi w:val="0"/>
        <w:adjustRightInd/>
        <w:snapToGrid/>
        <w:spacing w:line="240" w:lineRule="auto"/>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其中，地块①（中山市西区集体资产经营有限公司地块）用地面积0.</w:t>
      </w:r>
      <w:r>
        <w:rPr>
          <w:rFonts w:hint="default" w:ascii="Times New Roman" w:hAnsi="Times New Roman" w:cs="Times New Roman"/>
        </w:rPr>
        <w:t xml:space="preserve"> </w:t>
      </w:r>
      <w:r>
        <w:rPr>
          <w:rFonts w:hint="default" w:ascii="Times New Roman" w:hAnsi="Times New Roman" w:eastAsia="仿宋_GB2312" w:cs="Times New Roman"/>
          <w:spacing w:val="-6"/>
          <w:sz w:val="32"/>
          <w:szCs w:val="32"/>
        </w:rPr>
        <w:t>3687公顷（3687.9平方米，折合约5.53亩）；地块②（梁锦坤地块）用地面积为0.</w:t>
      </w:r>
      <w:r>
        <w:rPr>
          <w:rFonts w:hint="default" w:ascii="Times New Roman" w:hAnsi="Times New Roman" w:cs="Times New Roman"/>
        </w:rPr>
        <w:t xml:space="preserve"> </w:t>
      </w:r>
      <w:r>
        <w:rPr>
          <w:rFonts w:hint="default" w:ascii="Times New Roman" w:hAnsi="Times New Roman" w:eastAsia="仿宋_GB2312" w:cs="Times New Roman"/>
          <w:spacing w:val="-6"/>
          <w:sz w:val="32"/>
          <w:szCs w:val="32"/>
        </w:rPr>
        <w:t>3085公顷（3085.1平方米，折合约4.63亩）。</w:t>
      </w:r>
    </w:p>
    <w:p>
      <w:pPr>
        <w:keepNext w:val="0"/>
        <w:keepLines w:val="0"/>
        <w:pageBreakBefore w:val="0"/>
        <w:kinsoku/>
        <w:wordWrap/>
        <w:overflowPunct/>
        <w:topLinePunct w:val="0"/>
        <w:autoSpaceDN/>
        <w:bidi w:val="0"/>
        <w:adjustRightInd/>
        <w:snapToGrid/>
        <w:spacing w:line="240" w:lineRule="auto"/>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楷体_GB2312" w:cs="Times New Roman"/>
          <w:spacing w:val="-6"/>
          <w:sz w:val="32"/>
          <w:szCs w:val="32"/>
        </w:rPr>
        <w:t>（二）标图入库情况</w:t>
      </w:r>
      <w:r>
        <w:rPr>
          <w:rFonts w:hint="default" w:ascii="Times New Roman" w:hAnsi="Times New Roman" w:eastAsia="仿宋_GB2312" w:cs="Times New Roman"/>
          <w:spacing w:val="-6"/>
          <w:sz w:val="32"/>
          <w:szCs w:val="32"/>
        </w:rPr>
        <w:t xml:space="preserve"> </w:t>
      </w:r>
    </w:p>
    <w:p>
      <w:pPr>
        <w:keepNext w:val="0"/>
        <w:keepLines w:val="0"/>
        <w:pageBreakBefore w:val="0"/>
        <w:kinsoku/>
        <w:wordWrap/>
        <w:overflowPunct/>
        <w:topLinePunct w:val="0"/>
        <w:autoSpaceDN/>
        <w:bidi w:val="0"/>
        <w:adjustRightInd/>
        <w:snapToGrid/>
        <w:spacing w:line="240" w:lineRule="auto"/>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地块①（中山市西区集体资产经营有限公司地块）符合《关于印发&lt;“三旧”改造标图入库工作指南&gt;的通知》（中山更新发〔2022〕17号）的规定，拟与地块②办理整体标图入库工作。</w:t>
      </w:r>
    </w:p>
    <w:p>
      <w:pPr>
        <w:keepNext w:val="0"/>
        <w:keepLines w:val="0"/>
        <w:pageBreakBefore w:val="0"/>
        <w:kinsoku/>
        <w:wordWrap/>
        <w:overflowPunct/>
        <w:topLinePunct w:val="0"/>
        <w:autoSpaceDN/>
        <w:bidi w:val="0"/>
        <w:adjustRightInd/>
        <w:snapToGrid/>
        <w:spacing w:line="240" w:lineRule="auto"/>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地块②（梁锦坤地块）2009年卫片显示为空地，由权利人梁锦坤自2015年起投产，现状情况符合《关于进一步细化闲置土地处置操作指引的通知》（中闲置函〔2022〕614号）的第四条规定，视为非闲置土地。但由于地块2009年卫片为空地，故申请按《关于印发&lt;“三旧”改造标图入库工作指南&gt;的通知》（中山更新发〔2022〕17号）的特殊情况6的规定，与地块①整体标图入库，整体核算上盖物占地比例（根据自然资源局2009年影像图，两地块整体2009年上盖建筑物占比32.03%，详见附图）。经初步审核，地块①与地块②可纳入标图入库面积为0.6773公顷（6773平方米，折合约10.16亩），纳入本次改造范围。</w:t>
      </w:r>
    </w:p>
    <w:p>
      <w:pPr>
        <w:keepNext w:val="0"/>
        <w:keepLines w:val="0"/>
        <w:pageBreakBefore w:val="0"/>
        <w:kinsoku/>
        <w:wordWrap/>
        <w:overflowPunct/>
        <w:topLinePunct w:val="0"/>
        <w:autoSpaceDN/>
        <w:bidi w:val="0"/>
        <w:adjustRightInd/>
        <w:snapToGrid/>
        <w:spacing w:line="240" w:lineRule="auto"/>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楷体_GB2312" w:cs="Times New Roman"/>
          <w:spacing w:val="-6"/>
          <w:sz w:val="32"/>
          <w:szCs w:val="32"/>
        </w:rPr>
        <w:t>（三）权属情况</w:t>
      </w:r>
      <w:r>
        <w:rPr>
          <w:rFonts w:hint="default" w:ascii="Times New Roman" w:hAnsi="Times New Roman" w:eastAsia="仿宋_GB2312" w:cs="Times New Roman"/>
          <w:spacing w:val="-6"/>
          <w:sz w:val="32"/>
          <w:szCs w:val="32"/>
        </w:rPr>
        <w:t xml:space="preserve"> </w:t>
      </w:r>
    </w:p>
    <w:p>
      <w:pPr>
        <w:keepNext w:val="0"/>
        <w:keepLines w:val="0"/>
        <w:pageBreakBefore w:val="0"/>
        <w:kinsoku/>
        <w:wordWrap/>
        <w:overflowPunct/>
        <w:topLinePunct w:val="0"/>
        <w:autoSpaceDN/>
        <w:bidi w:val="0"/>
        <w:adjustRightInd/>
        <w:snapToGrid/>
        <w:spacing w:line="240" w:lineRule="auto"/>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 xml:space="preserve">改造项目涉及2宗国有建设用地，证载用途均为工业。改造涉及的土地已经确权、登记。其中，地块①（中山市西区集体资产经营有限公司地块）土地证号为中府国用（2005）第200178号，为土地权利人中山市西区集体资产经营有限公司自2005年开始使用；地块②（梁锦坤地块）土地证号为中府国用（2015）易第2001730号，为土地权利人梁锦坤自2015年开始使用。 </w:t>
      </w:r>
    </w:p>
    <w:p>
      <w:pPr>
        <w:keepNext w:val="0"/>
        <w:keepLines w:val="0"/>
        <w:pageBreakBefore w:val="0"/>
        <w:kinsoku/>
        <w:wordWrap/>
        <w:overflowPunct/>
        <w:topLinePunct w:val="0"/>
        <w:autoSpaceDN/>
        <w:bidi w:val="0"/>
        <w:adjustRightInd/>
        <w:snapToGrid/>
        <w:spacing w:line="240" w:lineRule="auto"/>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楷体_GB2312" w:cs="Times New Roman"/>
          <w:spacing w:val="-6"/>
          <w:sz w:val="32"/>
          <w:szCs w:val="32"/>
        </w:rPr>
        <w:t>（四）土地现状情况</w:t>
      </w:r>
      <w:r>
        <w:rPr>
          <w:rFonts w:hint="default" w:ascii="Times New Roman" w:hAnsi="Times New Roman" w:eastAsia="仿宋_GB2312" w:cs="Times New Roman"/>
          <w:spacing w:val="-6"/>
          <w:sz w:val="32"/>
          <w:szCs w:val="32"/>
        </w:rPr>
        <w:t xml:space="preserve"> </w:t>
      </w:r>
    </w:p>
    <w:p>
      <w:pPr>
        <w:keepNext w:val="0"/>
        <w:keepLines w:val="0"/>
        <w:pageBreakBefore w:val="0"/>
        <w:kinsoku/>
        <w:wordWrap/>
        <w:overflowPunct/>
        <w:topLinePunct w:val="0"/>
        <w:autoSpaceDN/>
        <w:bidi w:val="0"/>
        <w:adjustRightInd/>
        <w:snapToGrid/>
        <w:spacing w:line="240" w:lineRule="auto"/>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改造项目涉及2宗土地现状用途均为工业，具体使用情况如下：</w:t>
      </w:r>
    </w:p>
    <w:p>
      <w:pPr>
        <w:keepNext w:val="0"/>
        <w:keepLines w:val="0"/>
        <w:pageBreakBefore w:val="0"/>
        <w:kinsoku/>
        <w:wordWrap/>
        <w:overflowPunct/>
        <w:topLinePunct w:val="0"/>
        <w:autoSpaceDN/>
        <w:bidi w:val="0"/>
        <w:adjustRightInd/>
        <w:snapToGrid/>
        <w:spacing w:line="240" w:lineRule="auto"/>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地块①（中山市西区集体资产经营有限公司地块）有4栋具有产权证的建筑物，证载建筑面积9156.21平方米（粤房地证字第C4069158号），为土地权利人中山市西区集体资产经营有限公司租赁予中山市曼西尔奴服饰有限公司自2005年开始使用。目前该地块已拆除建筑面积9080.52平方米，剩余现有建筑物建筑面积75.69平方米，现状容积率0.01，主要作工业厂房所用。改造前年产值为905万元，年税收为34万元。</w:t>
      </w:r>
    </w:p>
    <w:p>
      <w:pPr>
        <w:keepNext w:val="0"/>
        <w:keepLines w:val="0"/>
        <w:pageBreakBefore w:val="0"/>
        <w:kinsoku/>
        <w:wordWrap/>
        <w:overflowPunct/>
        <w:topLinePunct w:val="0"/>
        <w:autoSpaceDN/>
        <w:bidi w:val="0"/>
        <w:adjustRightInd/>
        <w:snapToGrid/>
        <w:spacing w:line="240" w:lineRule="auto"/>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地块②（梁锦坤地块）有1栋建筑物，为土地权利人梁锦坤租赁予中山市银盛展示制品有限公司自2015年开始使用。现有建筑面积1225.21平方米，均有合法产权证（粤房地权证中府字第0215037882号），</w:t>
      </w:r>
      <w:r>
        <w:rPr>
          <w:rFonts w:hint="default" w:ascii="Times New Roman" w:hAnsi="Times New Roman" w:eastAsia="仿宋_GB2312" w:cs="Times New Roman"/>
          <w:spacing w:val="-6"/>
          <w:kern w:val="0"/>
          <w:sz w:val="32"/>
          <w:szCs w:val="32"/>
        </w:rPr>
        <w:t>该地块目前已拆除建筑面积0平方米</w:t>
      </w:r>
      <w:r>
        <w:rPr>
          <w:rFonts w:hint="default" w:ascii="Times New Roman" w:hAnsi="Times New Roman" w:eastAsia="仿宋_GB2312" w:cs="Times New Roman"/>
          <w:spacing w:val="-6"/>
          <w:sz w:val="32"/>
          <w:szCs w:val="32"/>
        </w:rPr>
        <w:t>，现状容积率0.4，主要作工业厂房所用。改造前年产值为100万元，年税收为50万元。</w:t>
      </w:r>
    </w:p>
    <w:p>
      <w:pPr>
        <w:keepNext w:val="0"/>
        <w:keepLines w:val="0"/>
        <w:pageBreakBefore w:val="0"/>
        <w:kinsoku/>
        <w:wordWrap/>
        <w:overflowPunct/>
        <w:topLinePunct w:val="0"/>
        <w:autoSpaceDN/>
        <w:bidi w:val="0"/>
        <w:adjustRightInd/>
        <w:snapToGrid/>
        <w:spacing w:line="240" w:lineRule="auto"/>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改造项目涉及2宗土地均不涉及到闲置土地、抵押、历史文化资源要素、土壤环境潜在监管地块等情况。</w:t>
      </w:r>
    </w:p>
    <w:p>
      <w:pPr>
        <w:keepNext w:val="0"/>
        <w:keepLines w:val="0"/>
        <w:pageBreakBefore w:val="0"/>
        <w:kinsoku/>
        <w:wordWrap/>
        <w:overflowPunct/>
        <w:topLinePunct w:val="0"/>
        <w:autoSpaceDN/>
        <w:bidi w:val="0"/>
        <w:adjustRightInd/>
        <w:snapToGrid/>
        <w:spacing w:line="240" w:lineRule="auto"/>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楷体_GB2312" w:cs="Times New Roman"/>
          <w:spacing w:val="-6"/>
          <w:sz w:val="32"/>
          <w:szCs w:val="32"/>
        </w:rPr>
        <w:t>（五）规划情况</w:t>
      </w:r>
      <w:r>
        <w:rPr>
          <w:rFonts w:hint="default" w:ascii="Times New Roman" w:hAnsi="Times New Roman" w:eastAsia="仿宋_GB2312" w:cs="Times New Roman"/>
          <w:spacing w:val="-6"/>
          <w:sz w:val="32"/>
          <w:szCs w:val="32"/>
        </w:rPr>
        <w:t xml:space="preserve"> </w:t>
      </w:r>
    </w:p>
    <w:p>
      <w:pPr>
        <w:keepNext w:val="0"/>
        <w:keepLines w:val="0"/>
        <w:pageBreakBefore w:val="0"/>
        <w:kinsoku/>
        <w:wordWrap/>
        <w:overflowPunct/>
        <w:topLinePunct w:val="0"/>
        <w:autoSpaceDN/>
        <w:bidi w:val="0"/>
        <w:adjustRightInd/>
        <w:snapToGrid/>
        <w:spacing w:line="240" w:lineRule="auto"/>
        <w:ind w:firstLine="616" w:firstLineChars="200"/>
        <w:textAlignment w:val="auto"/>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改造项目符合中山市国土空间总体规（2021-2035年）、控制性详细规划，纳入《中山市城市更新（“三旧”改造）专项规划（2020-2035）》。其中，在国土空间总体规划（2021-2035年）中，属城乡建设用地总用地面积为0.6773公顷（6773平方米，折合约10.16亩）；在《中山市西区隆昌片区（1202单元）控制性详细规划一般修改（2023）》(中府函〔2023〕354号)与中山市交通运输局的重点交通工程项目红线一张图（2024年6月20日入库）中，一类工业用地0.5994公顷（5993.66平方米，折合约8.99亩），规划容积率1.0-3.5，建筑密度35%-60%，绿地率10%-15%，生产性建筑高度≤50米，配套设施建筑高度≤100米；道路用地0.0779公顷（779.38平方米，折合约1.17亩）。</w:t>
      </w:r>
    </w:p>
    <w:p>
      <w:pPr>
        <w:keepNext w:val="0"/>
        <w:keepLines w:val="0"/>
        <w:pageBreakBefore w:val="0"/>
        <w:kinsoku/>
        <w:wordWrap/>
        <w:overflowPunct/>
        <w:topLinePunct w:val="0"/>
        <w:autoSpaceDN/>
        <w:bidi w:val="0"/>
        <w:adjustRightInd/>
        <w:snapToGrid/>
        <w:spacing w:line="240" w:lineRule="auto"/>
        <w:ind w:firstLine="616" w:firstLineChars="200"/>
        <w:textAlignment w:val="auto"/>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改造项目地块全部位于“三区三线”城镇开发边界内，符合工业用地保护线管控要求，且不涉及到永久基本农田、生态保护红线、森林资源等管控要求。</w:t>
      </w:r>
    </w:p>
    <w:p>
      <w:pPr>
        <w:keepNext w:val="0"/>
        <w:keepLines w:val="0"/>
        <w:pageBreakBefore w:val="0"/>
        <w:kinsoku/>
        <w:wordWrap/>
        <w:overflowPunct/>
        <w:topLinePunct w:val="0"/>
        <w:autoSpaceDN/>
        <w:bidi w:val="0"/>
        <w:adjustRightInd/>
        <w:snapToGrid/>
        <w:spacing w:line="240" w:lineRule="auto"/>
        <w:ind w:firstLine="616" w:firstLineChars="200"/>
        <w:textAlignment w:val="auto"/>
        <w:rPr>
          <w:rFonts w:hint="default" w:ascii="Times New Roman" w:hAnsi="Times New Roman" w:eastAsia="黑体" w:cs="Times New Roman"/>
          <w:spacing w:val="-6"/>
          <w:sz w:val="32"/>
          <w:szCs w:val="32"/>
        </w:rPr>
      </w:pPr>
      <w:r>
        <w:rPr>
          <w:rFonts w:hint="default" w:ascii="Times New Roman" w:hAnsi="Times New Roman" w:eastAsia="黑体" w:cs="Times New Roman"/>
          <w:spacing w:val="-6"/>
          <w:sz w:val="32"/>
          <w:szCs w:val="32"/>
        </w:rPr>
        <w:t>二、改造意愿情况及安置补偿情况</w:t>
      </w:r>
    </w:p>
    <w:p>
      <w:pPr>
        <w:keepNext w:val="0"/>
        <w:keepLines w:val="0"/>
        <w:pageBreakBefore w:val="0"/>
        <w:kinsoku/>
        <w:wordWrap/>
        <w:overflowPunct/>
        <w:topLinePunct w:val="0"/>
        <w:autoSpaceDN/>
        <w:bidi w:val="0"/>
        <w:adjustRightInd/>
        <w:snapToGrid/>
        <w:spacing w:line="240" w:lineRule="auto"/>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（一）改造意愿情况。</w:t>
      </w:r>
    </w:p>
    <w:p>
      <w:pPr>
        <w:keepNext w:val="0"/>
        <w:keepLines w:val="0"/>
        <w:pageBreakBefore w:val="0"/>
        <w:kinsoku/>
        <w:wordWrap/>
        <w:overflowPunct/>
        <w:topLinePunct w:val="0"/>
        <w:autoSpaceDN/>
        <w:bidi w:val="0"/>
        <w:adjustRightInd/>
        <w:snapToGrid/>
        <w:spacing w:line="240" w:lineRule="auto"/>
        <w:ind w:firstLine="616" w:firstLineChars="200"/>
        <w:textAlignment w:val="auto"/>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sz w:val="32"/>
          <w:szCs w:val="32"/>
        </w:rPr>
        <w:t>改造范围涉及中山市西区集体资产经营有限公司和梁锦坤2个权利主体，西区街道办事处已按照法律法规及我市城市更新（“三旧”改造）政策规定，就改造范围、土地现状、改造主体及拟改造情况等事项充分征求</w:t>
      </w:r>
      <w:r>
        <w:rPr>
          <w:rFonts w:hint="default" w:ascii="Times New Roman" w:hAnsi="Times New Roman" w:eastAsia="仿宋_GB2312" w:cs="Times New Roman"/>
          <w:spacing w:val="-6"/>
          <w:kern w:val="0"/>
          <w:sz w:val="32"/>
          <w:szCs w:val="32"/>
        </w:rPr>
        <w:t>所有权利人改造意愿，经征询全部原权利人，均同意将涉及土地、房屋纳入改造范围。</w:t>
      </w:r>
    </w:p>
    <w:p>
      <w:pPr>
        <w:keepNext w:val="0"/>
        <w:keepLines w:val="0"/>
        <w:pageBreakBefore w:val="0"/>
        <w:kinsoku/>
        <w:wordWrap/>
        <w:overflowPunct/>
        <w:topLinePunct w:val="0"/>
        <w:autoSpaceDN/>
        <w:bidi w:val="0"/>
        <w:adjustRightInd/>
        <w:snapToGrid/>
        <w:spacing w:line="240" w:lineRule="auto"/>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（二）补偿安置情况。</w:t>
      </w:r>
    </w:p>
    <w:p>
      <w:pPr>
        <w:keepNext w:val="0"/>
        <w:keepLines w:val="0"/>
        <w:pageBreakBefore w:val="0"/>
        <w:kinsoku/>
        <w:wordWrap/>
        <w:overflowPunct/>
        <w:topLinePunct w:val="0"/>
        <w:autoSpaceDN/>
        <w:bidi w:val="0"/>
        <w:adjustRightInd/>
        <w:snapToGrid/>
        <w:spacing w:line="240" w:lineRule="auto"/>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西区街道办事处已委托中山市西区建设投资发展有限公司与中山市西区集体资产经营有限公司和梁锦坤分别签订《搬迁补偿协议》，配合西区街道办事处收储地块①与地块②。</w:t>
      </w:r>
    </w:p>
    <w:p>
      <w:pPr>
        <w:keepNext w:val="0"/>
        <w:keepLines w:val="0"/>
        <w:pageBreakBefore w:val="0"/>
        <w:kinsoku/>
        <w:wordWrap/>
        <w:overflowPunct/>
        <w:topLinePunct w:val="0"/>
        <w:autoSpaceDN/>
        <w:bidi w:val="0"/>
        <w:adjustRightInd/>
        <w:snapToGrid/>
        <w:spacing w:line="240" w:lineRule="auto"/>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黑体" w:cs="Times New Roman"/>
          <w:spacing w:val="-6"/>
          <w:sz w:val="32"/>
          <w:szCs w:val="32"/>
        </w:rPr>
        <w:t>三、改造主体、办理用地手续及拟改造情况</w:t>
      </w:r>
      <w:r>
        <w:rPr>
          <w:rFonts w:hint="default" w:ascii="Times New Roman" w:hAnsi="Times New Roman" w:eastAsia="仿宋_GB2312" w:cs="Times New Roman"/>
          <w:spacing w:val="-6"/>
          <w:sz w:val="32"/>
          <w:szCs w:val="32"/>
        </w:rPr>
        <w:t xml:space="preserve"> </w:t>
      </w:r>
    </w:p>
    <w:p>
      <w:pPr>
        <w:keepNext w:val="0"/>
        <w:keepLines w:val="0"/>
        <w:pageBreakBefore w:val="0"/>
        <w:kinsoku/>
        <w:wordWrap/>
        <w:overflowPunct/>
        <w:topLinePunct w:val="0"/>
        <w:autoSpaceDN/>
        <w:bidi w:val="0"/>
        <w:adjustRightInd/>
        <w:snapToGrid/>
        <w:spacing w:line="240" w:lineRule="auto"/>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根据有关规划要求，改造项目严格按照我市国土空间总体规划、现行控制性详细规划管控要求实施建设。</w:t>
      </w:r>
    </w:p>
    <w:p>
      <w:pPr>
        <w:keepNext w:val="0"/>
        <w:keepLines w:val="0"/>
        <w:pageBreakBefore w:val="0"/>
        <w:kinsoku/>
        <w:wordWrap/>
        <w:overflowPunct/>
        <w:topLinePunct w:val="0"/>
        <w:autoSpaceDN/>
        <w:bidi w:val="0"/>
        <w:adjustRightInd/>
        <w:snapToGrid/>
        <w:spacing w:line="240" w:lineRule="auto"/>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（一）改造主体</w:t>
      </w:r>
    </w:p>
    <w:p>
      <w:pPr>
        <w:keepNext w:val="0"/>
        <w:keepLines w:val="0"/>
        <w:pageBreakBefore w:val="0"/>
        <w:kinsoku/>
        <w:wordWrap/>
        <w:overflowPunct/>
        <w:topLinePunct w:val="0"/>
        <w:autoSpaceDN/>
        <w:bidi w:val="0"/>
        <w:adjustRightInd/>
        <w:snapToGrid/>
        <w:spacing w:line="240" w:lineRule="auto"/>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该改造项目属“工改工”政府整备项目，拟采取政府整备改造方式，地块完成收储手续后，其中规划为一类工业用地通过公开出让方式确定改造主体实施全面改造，规划道路用地采用划拨方式供地给西区街道办事处。</w:t>
      </w:r>
    </w:p>
    <w:p>
      <w:pPr>
        <w:keepNext w:val="0"/>
        <w:keepLines w:val="0"/>
        <w:pageBreakBefore w:val="0"/>
        <w:kinsoku/>
        <w:wordWrap/>
        <w:overflowPunct/>
        <w:topLinePunct w:val="0"/>
        <w:autoSpaceDE w:val="0"/>
        <w:autoSpaceDN/>
        <w:bidi w:val="0"/>
        <w:adjustRightInd/>
        <w:snapToGrid/>
        <w:spacing w:line="240" w:lineRule="auto"/>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（二）办理用地手续情况</w:t>
      </w:r>
    </w:p>
    <w:p>
      <w:pPr>
        <w:keepNext w:val="0"/>
        <w:keepLines w:val="0"/>
        <w:pageBreakBefore w:val="0"/>
        <w:kinsoku/>
        <w:wordWrap/>
        <w:overflowPunct/>
        <w:topLinePunct w:val="0"/>
        <w:autoSpaceDE w:val="0"/>
        <w:autoSpaceDN/>
        <w:bidi w:val="0"/>
        <w:adjustRightInd/>
        <w:snapToGrid/>
        <w:spacing w:line="240" w:lineRule="auto"/>
        <w:ind w:firstLine="619" w:firstLineChars="200"/>
        <w:textAlignment w:val="auto"/>
        <w:rPr>
          <w:rFonts w:hint="default" w:ascii="Times New Roman" w:hAnsi="Times New Roman" w:eastAsia="仿宋_GB2312" w:cs="Times New Roman"/>
          <w:b/>
          <w:bCs/>
          <w:spacing w:val="-6"/>
          <w:sz w:val="32"/>
          <w:szCs w:val="32"/>
        </w:rPr>
      </w:pPr>
      <w:r>
        <w:rPr>
          <w:rFonts w:hint="default" w:ascii="Times New Roman" w:hAnsi="Times New Roman" w:eastAsia="仿宋_GB2312" w:cs="Times New Roman"/>
          <w:b/>
          <w:bCs/>
          <w:spacing w:val="-6"/>
          <w:sz w:val="32"/>
          <w:szCs w:val="32"/>
        </w:rPr>
        <w:t>1. 土地收回</w:t>
      </w:r>
    </w:p>
    <w:p>
      <w:pPr>
        <w:keepNext w:val="0"/>
        <w:keepLines w:val="0"/>
        <w:pageBreakBefore w:val="0"/>
        <w:widowControl/>
        <w:kinsoku/>
        <w:wordWrap/>
        <w:overflowPunct/>
        <w:topLinePunct w:val="0"/>
        <w:autoSpaceDN/>
        <w:bidi w:val="0"/>
        <w:adjustRightInd/>
        <w:snapToGrid/>
        <w:spacing w:line="240" w:lineRule="auto"/>
        <w:ind w:firstLine="616" w:firstLineChars="200"/>
        <w:jc w:val="left"/>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中山市土地储备中心委托西区街道办事处与中山市西区建设投资发展有限公司和中山市西区集体资产经营有限公司、梁锦坤签订收回国有用地协议，待收储方案经市土委会审议通过后，由中山市西区街道办事处依法收回地块①与地块②的国有建设使用权。</w:t>
      </w:r>
    </w:p>
    <w:p>
      <w:pPr>
        <w:keepNext w:val="0"/>
        <w:keepLines w:val="0"/>
        <w:pageBreakBefore w:val="0"/>
        <w:kinsoku/>
        <w:wordWrap/>
        <w:overflowPunct/>
        <w:topLinePunct w:val="0"/>
        <w:autoSpaceDN/>
        <w:bidi w:val="0"/>
        <w:adjustRightInd/>
        <w:snapToGrid/>
        <w:spacing w:line="240" w:lineRule="auto"/>
        <w:ind w:firstLine="640"/>
        <w:jc w:val="left"/>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本次收储补偿款由中山市西区街道办事处全额出资。用地出让后，市土地储备中心不参与分成。</w:t>
      </w:r>
    </w:p>
    <w:p>
      <w:pPr>
        <w:keepNext w:val="0"/>
        <w:keepLines w:val="0"/>
        <w:pageBreakBefore w:val="0"/>
        <w:kinsoku/>
        <w:wordWrap/>
        <w:overflowPunct/>
        <w:topLinePunct w:val="0"/>
        <w:autoSpaceDE w:val="0"/>
        <w:autoSpaceDN/>
        <w:bidi w:val="0"/>
        <w:adjustRightInd/>
        <w:snapToGrid/>
        <w:spacing w:line="240" w:lineRule="auto"/>
        <w:ind w:firstLine="619" w:firstLineChars="200"/>
        <w:textAlignment w:val="auto"/>
        <w:rPr>
          <w:rFonts w:hint="default" w:ascii="Times New Roman" w:hAnsi="Times New Roman" w:eastAsia="仿宋_GB2312" w:cs="Times New Roman"/>
          <w:b/>
          <w:bCs/>
          <w:spacing w:val="-6"/>
          <w:sz w:val="32"/>
          <w:szCs w:val="32"/>
        </w:rPr>
      </w:pPr>
      <w:r>
        <w:rPr>
          <w:rFonts w:hint="default" w:ascii="Times New Roman" w:hAnsi="Times New Roman" w:eastAsia="仿宋_GB2312" w:cs="Times New Roman"/>
          <w:b/>
          <w:bCs/>
          <w:spacing w:val="-6"/>
          <w:sz w:val="32"/>
          <w:szCs w:val="32"/>
        </w:rPr>
        <w:t>2.土地供应</w:t>
      </w:r>
    </w:p>
    <w:p>
      <w:pPr>
        <w:keepNext w:val="0"/>
        <w:keepLines w:val="0"/>
        <w:pageBreakBefore w:val="0"/>
        <w:kinsoku/>
        <w:wordWrap/>
        <w:overflowPunct/>
        <w:topLinePunct w:val="0"/>
        <w:autoSpaceDE w:val="0"/>
        <w:autoSpaceDN/>
        <w:bidi w:val="0"/>
        <w:adjustRightInd/>
        <w:snapToGrid/>
        <w:spacing w:line="240" w:lineRule="auto"/>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根据《广东省旧城镇旧厂房旧村庄改造管理办法》（粤府令第 279 号）规定，“三旧”用地、“三地”和其他用地，除政府收储后按照规定划拨或者公开出让的情形外，可以以协议方式出让给符合条件的改造主体。改造地块符合上述公开出让和划拨的条件。</w:t>
      </w:r>
    </w:p>
    <w:p>
      <w:pPr>
        <w:keepNext w:val="0"/>
        <w:keepLines w:val="0"/>
        <w:pageBreakBefore w:val="0"/>
        <w:kinsoku/>
        <w:wordWrap/>
        <w:overflowPunct/>
        <w:topLinePunct w:val="0"/>
        <w:autoSpaceDN/>
        <w:bidi w:val="0"/>
        <w:adjustRightInd/>
        <w:snapToGrid/>
        <w:spacing w:line="240" w:lineRule="auto"/>
        <w:ind w:firstLine="616" w:firstLineChars="200"/>
        <w:textAlignment w:val="auto"/>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sz w:val="32"/>
          <w:szCs w:val="32"/>
        </w:rPr>
        <w:t>根据</w:t>
      </w:r>
      <w:r>
        <w:rPr>
          <w:rFonts w:hint="default" w:ascii="Times New Roman" w:hAnsi="Times New Roman" w:eastAsia="仿宋_GB2312" w:cs="Times New Roman"/>
          <w:spacing w:val="-6"/>
          <w:kern w:val="0"/>
          <w:sz w:val="32"/>
          <w:szCs w:val="32"/>
        </w:rPr>
        <w:t>《中山市西区隆昌片区（1202单元）控制性详细规划一般修改（2023）》(中府函〔2023〕354号)</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6"/>
          <w:kern w:val="0"/>
          <w:sz w:val="32"/>
          <w:szCs w:val="32"/>
        </w:rPr>
        <w:t>与中山市交通运输局的重点交通工程</w:t>
      </w:r>
      <w:r>
        <w:rPr>
          <w:rFonts w:hint="default" w:ascii="Times New Roman" w:hAnsi="Times New Roman" w:eastAsia="仿宋_GB2312" w:cs="Times New Roman"/>
          <w:spacing w:val="-6"/>
          <w:sz w:val="32"/>
          <w:szCs w:val="32"/>
        </w:rPr>
        <w:t>项目红线一张图（2024年6月20日入库），其中一类工业用地0.5994公顷（5993.66平方米，折合约8.99亩），由公开出让确定的改造主体按照公开出让要求实施改造；道路用地0.0779公顷（779.38平方米，折合约1.17亩），</w:t>
      </w:r>
      <w:r>
        <w:rPr>
          <w:rFonts w:hint="default" w:ascii="Times New Roman" w:hAnsi="Times New Roman" w:eastAsia="仿宋_GB2312" w:cs="Times New Roman"/>
          <w:spacing w:val="-6"/>
          <w:kern w:val="0"/>
          <w:sz w:val="32"/>
          <w:szCs w:val="32"/>
        </w:rPr>
        <w:t>拟采用划拨方式供地给西区街道办事处。上述以实际审批情况为准。</w:t>
      </w:r>
    </w:p>
    <w:p>
      <w:pPr>
        <w:keepNext w:val="0"/>
        <w:keepLines w:val="0"/>
        <w:pageBreakBefore w:val="0"/>
        <w:kinsoku/>
        <w:wordWrap/>
        <w:overflowPunct/>
        <w:topLinePunct w:val="0"/>
        <w:autoSpaceDN/>
        <w:bidi w:val="0"/>
        <w:adjustRightInd/>
        <w:snapToGrid/>
        <w:spacing w:line="240" w:lineRule="auto"/>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（三）拟改造情况</w:t>
      </w:r>
    </w:p>
    <w:p>
      <w:pPr>
        <w:keepNext w:val="0"/>
        <w:keepLines w:val="0"/>
        <w:pageBreakBefore w:val="0"/>
        <w:kinsoku/>
        <w:wordWrap/>
        <w:overflowPunct/>
        <w:topLinePunct w:val="0"/>
        <w:autoSpaceDN/>
        <w:bidi w:val="0"/>
        <w:adjustRightInd/>
        <w:snapToGrid/>
        <w:spacing w:line="240" w:lineRule="auto"/>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改造方案将按照《中山市西区隆昌片区（1202单元）控制性详细规划一般修改（2023）》(中府函〔2023〕354号)实施，公开出让的0.5994公顷（5993.66平方米，折合约8.99亩），一类工业用地，公开出让容积率1.0-3.5，投资强度不低于600万</w:t>
      </w:r>
      <w:bookmarkStart w:id="2" w:name="_GoBack"/>
      <w:bookmarkEnd w:id="2"/>
      <w:r>
        <w:rPr>
          <w:rFonts w:hint="default" w:ascii="Times New Roman" w:hAnsi="Times New Roman" w:eastAsia="仿宋_GB2312" w:cs="Times New Roman"/>
          <w:spacing w:val="-6"/>
          <w:sz w:val="32"/>
          <w:szCs w:val="32"/>
        </w:rPr>
        <w:t>元/亩，年产值不低于1200万元/亩，所产生的年税收不低于60万元/亩。改造后将用于工业用途，拟引入符合国家《产业结构调整指导目录》《中山市“三线一单”生态环境分区管控方案》《中山市涉挥发性有机物项目环保管理规定》的产业，上述以实际审批情况为准。</w:t>
      </w:r>
    </w:p>
    <w:p>
      <w:pPr>
        <w:keepNext w:val="0"/>
        <w:keepLines w:val="0"/>
        <w:pageBreakBefore w:val="0"/>
        <w:kinsoku/>
        <w:wordWrap/>
        <w:overflowPunct/>
        <w:topLinePunct w:val="0"/>
        <w:autoSpaceDN/>
        <w:bidi w:val="0"/>
        <w:adjustRightInd/>
        <w:snapToGrid/>
        <w:spacing w:line="240" w:lineRule="auto"/>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黑体" w:cs="Times New Roman"/>
          <w:spacing w:val="-6"/>
          <w:sz w:val="32"/>
          <w:szCs w:val="32"/>
        </w:rPr>
        <w:t>四、资金筹措</w:t>
      </w:r>
    </w:p>
    <w:p>
      <w:pPr>
        <w:keepNext w:val="0"/>
        <w:keepLines w:val="0"/>
        <w:pageBreakBefore w:val="0"/>
        <w:kinsoku/>
        <w:wordWrap/>
        <w:overflowPunct/>
        <w:topLinePunct w:val="0"/>
        <w:autoSpaceDN/>
        <w:bidi w:val="0"/>
        <w:adjustRightInd/>
        <w:snapToGrid/>
        <w:spacing w:line="240" w:lineRule="auto"/>
        <w:ind w:firstLine="616" w:firstLineChars="200"/>
        <w:textAlignment w:val="auto"/>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项目投资强度不少于600万元/亩，由改造主体投入。</w:t>
      </w:r>
    </w:p>
    <w:p>
      <w:pPr>
        <w:keepNext w:val="0"/>
        <w:keepLines w:val="0"/>
        <w:pageBreakBefore w:val="0"/>
        <w:kinsoku/>
        <w:wordWrap/>
        <w:overflowPunct/>
        <w:topLinePunct w:val="0"/>
        <w:autoSpaceDN/>
        <w:bidi w:val="0"/>
        <w:adjustRightInd/>
        <w:snapToGrid/>
        <w:spacing w:line="240" w:lineRule="auto"/>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黑体" w:cs="Times New Roman"/>
          <w:spacing w:val="-6"/>
          <w:sz w:val="32"/>
          <w:szCs w:val="32"/>
        </w:rPr>
        <w:t>五、开发时序</w:t>
      </w:r>
    </w:p>
    <w:p>
      <w:pPr>
        <w:keepNext w:val="0"/>
        <w:keepLines w:val="0"/>
        <w:pageBreakBefore w:val="0"/>
        <w:kinsoku/>
        <w:wordWrap/>
        <w:overflowPunct/>
        <w:topLinePunct w:val="0"/>
        <w:autoSpaceDN/>
        <w:bidi w:val="0"/>
        <w:adjustRightInd/>
        <w:snapToGrid/>
        <w:spacing w:line="240" w:lineRule="auto"/>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具体开发时间、建设内容以签订的土地使用权出让合同为准。</w:t>
      </w:r>
    </w:p>
    <w:p>
      <w:pPr>
        <w:keepNext w:val="0"/>
        <w:keepLines w:val="0"/>
        <w:pageBreakBefore w:val="0"/>
        <w:kinsoku/>
        <w:wordWrap/>
        <w:overflowPunct/>
        <w:topLinePunct w:val="0"/>
        <w:autoSpaceDN/>
        <w:bidi w:val="0"/>
        <w:adjustRightInd/>
        <w:snapToGrid/>
        <w:spacing w:line="240" w:lineRule="auto"/>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黑体" w:cs="Times New Roman"/>
          <w:spacing w:val="-6"/>
          <w:sz w:val="32"/>
          <w:szCs w:val="32"/>
        </w:rPr>
        <w:t>六、实施监管</w:t>
      </w:r>
      <w:r>
        <w:rPr>
          <w:rFonts w:hint="default" w:ascii="Times New Roman" w:hAnsi="Times New Roman" w:eastAsia="仿宋_GB2312" w:cs="Times New Roman"/>
          <w:spacing w:val="-6"/>
          <w:sz w:val="32"/>
          <w:szCs w:val="32"/>
        </w:rPr>
        <w:t xml:space="preserve"> </w:t>
      </w:r>
    </w:p>
    <w:p>
      <w:pPr>
        <w:keepNext w:val="0"/>
        <w:keepLines w:val="0"/>
        <w:pageBreakBefore w:val="0"/>
        <w:kinsoku/>
        <w:wordWrap/>
        <w:overflowPunct/>
        <w:topLinePunct w:val="0"/>
        <w:autoSpaceDN/>
        <w:bidi w:val="0"/>
        <w:adjustRightInd/>
        <w:snapToGrid/>
        <w:spacing w:line="240" w:lineRule="auto"/>
        <w:ind w:firstLine="640"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color w:val="000000"/>
          <w:kern w:val="0"/>
          <w:sz w:val="32"/>
          <w:szCs w:val="32"/>
          <w:lang w:bidi="ar"/>
        </w:rPr>
        <w:t>按公开出让有关要求执行。</w:t>
      </w:r>
    </w:p>
    <w:p>
      <w:pPr>
        <w:widowControl/>
        <w:spacing w:line="574" w:lineRule="exact"/>
        <w:ind w:firstLine="420" w:firstLineChars="200"/>
        <w:jc w:val="left"/>
        <w:rPr>
          <w:rFonts w:hint="default" w:ascii="Times New Roman" w:hAnsi="Times New Roman" w:eastAsia="仿宋_GB2312" w:cs="Times New Roman"/>
          <w:color w:val="000000"/>
          <w:kern w:val="0"/>
          <w:sz w:val="32"/>
          <w:szCs w:val="32"/>
          <w:lang w:bidi="ar"/>
        </w:rPr>
      </w:pPr>
      <w:r>
        <w:rPr>
          <w:rFonts w:hint="default" w:ascii="Times New Roman" w:hAnsi="Times New Roman" w:cs="Times New Roman"/>
        </w:rPr>
        <w:drawing>
          <wp:anchor distT="0" distB="0" distL="114300" distR="114300" simplePos="0" relativeHeight="251660288" behindDoc="0" locked="0" layoutInCell="1" allowOverlap="1">
            <wp:simplePos x="0" y="0"/>
            <wp:positionH relativeFrom="margin">
              <wp:align>center</wp:align>
            </wp:positionH>
            <wp:positionV relativeFrom="paragraph">
              <wp:posOffset>572770</wp:posOffset>
            </wp:positionV>
            <wp:extent cx="5314950" cy="6670675"/>
            <wp:effectExtent l="0" t="0" r="0" b="0"/>
            <wp:wrapSquare wrapText="bothSides"/>
            <wp:docPr id="2462732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273204" name="图片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314950" cy="6670675"/>
                    </a:xfrm>
                    <a:prstGeom prst="rect">
                      <a:avLst/>
                    </a:prstGeom>
                  </pic:spPr>
                </pic:pic>
              </a:graphicData>
            </a:graphic>
          </wp:anchor>
        </w:drawing>
      </w:r>
      <w:r>
        <w:rPr>
          <w:rFonts w:hint="default" w:ascii="Times New Roman" w:hAnsi="Times New Roman" w:eastAsia="仿宋_GB2312" w:cs="Times New Roman"/>
          <w:color w:val="000000"/>
          <w:kern w:val="0"/>
          <w:sz w:val="32"/>
          <w:szCs w:val="32"/>
          <w:lang w:bidi="ar"/>
        </w:rPr>
        <w:t>附图：地块</w:t>
      </w:r>
      <w:r>
        <w:rPr>
          <w:rFonts w:hint="default" w:ascii="Times New Roman" w:hAnsi="Times New Roman" w:eastAsia="仿宋_GB2312" w:cs="Times New Roman"/>
          <w:spacing w:val="-6"/>
          <w:sz w:val="32"/>
          <w:szCs w:val="32"/>
        </w:rPr>
        <w:t>①</w:t>
      </w:r>
      <w:r>
        <w:rPr>
          <w:rFonts w:hint="default" w:ascii="Times New Roman" w:hAnsi="Times New Roman" w:eastAsia="仿宋_GB2312" w:cs="Times New Roman"/>
          <w:color w:val="000000"/>
          <w:kern w:val="0"/>
          <w:sz w:val="32"/>
          <w:szCs w:val="32"/>
          <w:lang w:bidi="ar"/>
        </w:rPr>
        <w:t>与地块②2009年上盖物占比</w:t>
      </w:r>
    </w:p>
    <w:sectPr>
      <w:footerReference r:id="rId3" w:type="default"/>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zNjNiZmQxMDQ3YmUzY2RkNTkyZTgyYmRkZGMyNWUifQ=="/>
  </w:docVars>
  <w:rsids>
    <w:rsidRoot w:val="62591DBF"/>
    <w:rsid w:val="0000638D"/>
    <w:rsid w:val="00025AFA"/>
    <w:rsid w:val="00032041"/>
    <w:rsid w:val="0003328F"/>
    <w:rsid w:val="00036096"/>
    <w:rsid w:val="00045172"/>
    <w:rsid w:val="00050BB0"/>
    <w:rsid w:val="000546E2"/>
    <w:rsid w:val="0006503D"/>
    <w:rsid w:val="00065CA8"/>
    <w:rsid w:val="00066228"/>
    <w:rsid w:val="000679F4"/>
    <w:rsid w:val="00093529"/>
    <w:rsid w:val="000951CA"/>
    <w:rsid w:val="000C0BA8"/>
    <w:rsid w:val="000C445C"/>
    <w:rsid w:val="000C69B8"/>
    <w:rsid w:val="000D5E2F"/>
    <w:rsid w:val="000D76AA"/>
    <w:rsid w:val="000E22A3"/>
    <w:rsid w:val="000E7578"/>
    <w:rsid w:val="000F1F91"/>
    <w:rsid w:val="00104F3E"/>
    <w:rsid w:val="0011572A"/>
    <w:rsid w:val="00125D33"/>
    <w:rsid w:val="00166EC9"/>
    <w:rsid w:val="00181496"/>
    <w:rsid w:val="00185156"/>
    <w:rsid w:val="00185BA9"/>
    <w:rsid w:val="001A0E67"/>
    <w:rsid w:val="001A2F28"/>
    <w:rsid w:val="001A7CCA"/>
    <w:rsid w:val="001B5BFB"/>
    <w:rsid w:val="001C7F99"/>
    <w:rsid w:val="001D2ECF"/>
    <w:rsid w:val="001D3A05"/>
    <w:rsid w:val="001D6842"/>
    <w:rsid w:val="001E4777"/>
    <w:rsid w:val="001F1E66"/>
    <w:rsid w:val="001F43BA"/>
    <w:rsid w:val="001F572A"/>
    <w:rsid w:val="0022385F"/>
    <w:rsid w:val="0022659C"/>
    <w:rsid w:val="00233045"/>
    <w:rsid w:val="002524C0"/>
    <w:rsid w:val="0025266A"/>
    <w:rsid w:val="002530A7"/>
    <w:rsid w:val="0026797B"/>
    <w:rsid w:val="00281826"/>
    <w:rsid w:val="00281EFD"/>
    <w:rsid w:val="002A0299"/>
    <w:rsid w:val="002A58CB"/>
    <w:rsid w:val="002C1207"/>
    <w:rsid w:val="002C2130"/>
    <w:rsid w:val="002D27DC"/>
    <w:rsid w:val="002E1A6C"/>
    <w:rsid w:val="002F10C1"/>
    <w:rsid w:val="002F38DA"/>
    <w:rsid w:val="003003A3"/>
    <w:rsid w:val="00300A64"/>
    <w:rsid w:val="00314407"/>
    <w:rsid w:val="0031748D"/>
    <w:rsid w:val="0031756E"/>
    <w:rsid w:val="00321413"/>
    <w:rsid w:val="0032542E"/>
    <w:rsid w:val="00330996"/>
    <w:rsid w:val="00347443"/>
    <w:rsid w:val="0035275E"/>
    <w:rsid w:val="00352ABB"/>
    <w:rsid w:val="003624F8"/>
    <w:rsid w:val="0036251B"/>
    <w:rsid w:val="00364B91"/>
    <w:rsid w:val="00364E7A"/>
    <w:rsid w:val="00373014"/>
    <w:rsid w:val="0037600F"/>
    <w:rsid w:val="003835FB"/>
    <w:rsid w:val="00391AB7"/>
    <w:rsid w:val="00393F24"/>
    <w:rsid w:val="003A2495"/>
    <w:rsid w:val="003B42F5"/>
    <w:rsid w:val="003C5DF8"/>
    <w:rsid w:val="003D29C4"/>
    <w:rsid w:val="003D52E9"/>
    <w:rsid w:val="003D57F0"/>
    <w:rsid w:val="003E416B"/>
    <w:rsid w:val="003F0C32"/>
    <w:rsid w:val="003F7BA4"/>
    <w:rsid w:val="00414653"/>
    <w:rsid w:val="00415BFF"/>
    <w:rsid w:val="00416AC7"/>
    <w:rsid w:val="0042195F"/>
    <w:rsid w:val="00441828"/>
    <w:rsid w:val="00452DEE"/>
    <w:rsid w:val="00454C99"/>
    <w:rsid w:val="00464650"/>
    <w:rsid w:val="004674ED"/>
    <w:rsid w:val="004763F2"/>
    <w:rsid w:val="0048028A"/>
    <w:rsid w:val="004834AC"/>
    <w:rsid w:val="004A5BA8"/>
    <w:rsid w:val="004B030F"/>
    <w:rsid w:val="004B1738"/>
    <w:rsid w:val="004B1B54"/>
    <w:rsid w:val="004B6641"/>
    <w:rsid w:val="004B67CC"/>
    <w:rsid w:val="004C1431"/>
    <w:rsid w:val="004C14C5"/>
    <w:rsid w:val="004C724E"/>
    <w:rsid w:val="004D0349"/>
    <w:rsid w:val="004D0DC8"/>
    <w:rsid w:val="004D1695"/>
    <w:rsid w:val="004E68A8"/>
    <w:rsid w:val="004F1ECF"/>
    <w:rsid w:val="00510343"/>
    <w:rsid w:val="00512311"/>
    <w:rsid w:val="00520785"/>
    <w:rsid w:val="00525E70"/>
    <w:rsid w:val="00537802"/>
    <w:rsid w:val="005417BD"/>
    <w:rsid w:val="00552728"/>
    <w:rsid w:val="00564AF7"/>
    <w:rsid w:val="005720A0"/>
    <w:rsid w:val="00572790"/>
    <w:rsid w:val="00572F0E"/>
    <w:rsid w:val="00580DB4"/>
    <w:rsid w:val="0059025D"/>
    <w:rsid w:val="005A27A0"/>
    <w:rsid w:val="005A3700"/>
    <w:rsid w:val="005A3B77"/>
    <w:rsid w:val="005A788D"/>
    <w:rsid w:val="005D52B2"/>
    <w:rsid w:val="005D5DAA"/>
    <w:rsid w:val="005E0813"/>
    <w:rsid w:val="005E2EC6"/>
    <w:rsid w:val="005F11EC"/>
    <w:rsid w:val="005F2B13"/>
    <w:rsid w:val="00605B67"/>
    <w:rsid w:val="0060653C"/>
    <w:rsid w:val="0061036B"/>
    <w:rsid w:val="0061735F"/>
    <w:rsid w:val="00617B5E"/>
    <w:rsid w:val="00634EFD"/>
    <w:rsid w:val="00635077"/>
    <w:rsid w:val="00646B01"/>
    <w:rsid w:val="00655945"/>
    <w:rsid w:val="00662AD6"/>
    <w:rsid w:val="0066402E"/>
    <w:rsid w:val="00666211"/>
    <w:rsid w:val="00673F6D"/>
    <w:rsid w:val="0068185C"/>
    <w:rsid w:val="006949BE"/>
    <w:rsid w:val="006A4522"/>
    <w:rsid w:val="006B18E2"/>
    <w:rsid w:val="006B2724"/>
    <w:rsid w:val="006B274F"/>
    <w:rsid w:val="006B3228"/>
    <w:rsid w:val="006C07AD"/>
    <w:rsid w:val="006C1AA6"/>
    <w:rsid w:val="006C4EA3"/>
    <w:rsid w:val="006E025B"/>
    <w:rsid w:val="00704D32"/>
    <w:rsid w:val="00724E1C"/>
    <w:rsid w:val="0073304A"/>
    <w:rsid w:val="0073557F"/>
    <w:rsid w:val="007370B4"/>
    <w:rsid w:val="00737E5B"/>
    <w:rsid w:val="00742142"/>
    <w:rsid w:val="007508ED"/>
    <w:rsid w:val="0075608C"/>
    <w:rsid w:val="00763899"/>
    <w:rsid w:val="007715CE"/>
    <w:rsid w:val="007772FD"/>
    <w:rsid w:val="007863EA"/>
    <w:rsid w:val="007876C5"/>
    <w:rsid w:val="00792430"/>
    <w:rsid w:val="007A2FC5"/>
    <w:rsid w:val="007A42A5"/>
    <w:rsid w:val="007C4D08"/>
    <w:rsid w:val="007C4FA0"/>
    <w:rsid w:val="007D3CBA"/>
    <w:rsid w:val="007D42E5"/>
    <w:rsid w:val="007F0D03"/>
    <w:rsid w:val="007F1CEB"/>
    <w:rsid w:val="008130C7"/>
    <w:rsid w:val="00835080"/>
    <w:rsid w:val="00835D4A"/>
    <w:rsid w:val="0083655D"/>
    <w:rsid w:val="00845F1A"/>
    <w:rsid w:val="008461AD"/>
    <w:rsid w:val="00852878"/>
    <w:rsid w:val="008547E8"/>
    <w:rsid w:val="00865985"/>
    <w:rsid w:val="008751FF"/>
    <w:rsid w:val="0087598B"/>
    <w:rsid w:val="00882A30"/>
    <w:rsid w:val="00887CEF"/>
    <w:rsid w:val="008920BF"/>
    <w:rsid w:val="0089360B"/>
    <w:rsid w:val="00894FE0"/>
    <w:rsid w:val="008C4F7A"/>
    <w:rsid w:val="008C5D26"/>
    <w:rsid w:val="008E67FC"/>
    <w:rsid w:val="008E7001"/>
    <w:rsid w:val="008F3AF4"/>
    <w:rsid w:val="008F698C"/>
    <w:rsid w:val="008F72BC"/>
    <w:rsid w:val="009202D8"/>
    <w:rsid w:val="00921EEB"/>
    <w:rsid w:val="009332D3"/>
    <w:rsid w:val="009367C7"/>
    <w:rsid w:val="00946EA2"/>
    <w:rsid w:val="0095099A"/>
    <w:rsid w:val="00956A6F"/>
    <w:rsid w:val="009579F2"/>
    <w:rsid w:val="009619BA"/>
    <w:rsid w:val="0096427D"/>
    <w:rsid w:val="00967EF4"/>
    <w:rsid w:val="00982C19"/>
    <w:rsid w:val="00986BD7"/>
    <w:rsid w:val="00995E2B"/>
    <w:rsid w:val="009A06BE"/>
    <w:rsid w:val="009B33EE"/>
    <w:rsid w:val="009B6C60"/>
    <w:rsid w:val="009C6060"/>
    <w:rsid w:val="009E085C"/>
    <w:rsid w:val="009F2DC3"/>
    <w:rsid w:val="009F539A"/>
    <w:rsid w:val="00A32899"/>
    <w:rsid w:val="00A47921"/>
    <w:rsid w:val="00A5463C"/>
    <w:rsid w:val="00A56F77"/>
    <w:rsid w:val="00A649EA"/>
    <w:rsid w:val="00A86FF4"/>
    <w:rsid w:val="00AA06B5"/>
    <w:rsid w:val="00AA09F3"/>
    <w:rsid w:val="00AA3570"/>
    <w:rsid w:val="00AA756D"/>
    <w:rsid w:val="00AB0B4D"/>
    <w:rsid w:val="00AC5261"/>
    <w:rsid w:val="00AC6691"/>
    <w:rsid w:val="00AD0321"/>
    <w:rsid w:val="00AE6C0B"/>
    <w:rsid w:val="00AF2FF9"/>
    <w:rsid w:val="00B05846"/>
    <w:rsid w:val="00B334DE"/>
    <w:rsid w:val="00B46A9C"/>
    <w:rsid w:val="00B506A9"/>
    <w:rsid w:val="00B50C6F"/>
    <w:rsid w:val="00B644B0"/>
    <w:rsid w:val="00B651A3"/>
    <w:rsid w:val="00B85EAB"/>
    <w:rsid w:val="00B91F71"/>
    <w:rsid w:val="00B94ABF"/>
    <w:rsid w:val="00BA179A"/>
    <w:rsid w:val="00BA4EAB"/>
    <w:rsid w:val="00BE1C4D"/>
    <w:rsid w:val="00C154D3"/>
    <w:rsid w:val="00C3144A"/>
    <w:rsid w:val="00C31879"/>
    <w:rsid w:val="00C325B6"/>
    <w:rsid w:val="00C40153"/>
    <w:rsid w:val="00C4544F"/>
    <w:rsid w:val="00C51F4E"/>
    <w:rsid w:val="00C62951"/>
    <w:rsid w:val="00C655B3"/>
    <w:rsid w:val="00C749CD"/>
    <w:rsid w:val="00C9017C"/>
    <w:rsid w:val="00CA71BD"/>
    <w:rsid w:val="00CA7D7A"/>
    <w:rsid w:val="00CB44C4"/>
    <w:rsid w:val="00CB66A9"/>
    <w:rsid w:val="00CD2A1B"/>
    <w:rsid w:val="00CD73C0"/>
    <w:rsid w:val="00CE091B"/>
    <w:rsid w:val="00CE1752"/>
    <w:rsid w:val="00CE3811"/>
    <w:rsid w:val="00CE7D03"/>
    <w:rsid w:val="00D07A4B"/>
    <w:rsid w:val="00D115D2"/>
    <w:rsid w:val="00D16708"/>
    <w:rsid w:val="00D17370"/>
    <w:rsid w:val="00D21B8A"/>
    <w:rsid w:val="00D2328F"/>
    <w:rsid w:val="00D26559"/>
    <w:rsid w:val="00D321D0"/>
    <w:rsid w:val="00D402EC"/>
    <w:rsid w:val="00D4440E"/>
    <w:rsid w:val="00D516D4"/>
    <w:rsid w:val="00D51D7B"/>
    <w:rsid w:val="00D530F3"/>
    <w:rsid w:val="00D612A4"/>
    <w:rsid w:val="00D63696"/>
    <w:rsid w:val="00D71307"/>
    <w:rsid w:val="00D7704B"/>
    <w:rsid w:val="00D80964"/>
    <w:rsid w:val="00D92CDA"/>
    <w:rsid w:val="00D94F11"/>
    <w:rsid w:val="00DA0509"/>
    <w:rsid w:val="00DA36FC"/>
    <w:rsid w:val="00DB6040"/>
    <w:rsid w:val="00DD3FA0"/>
    <w:rsid w:val="00DD5DB2"/>
    <w:rsid w:val="00DD7D3C"/>
    <w:rsid w:val="00DF13EF"/>
    <w:rsid w:val="00DF2A98"/>
    <w:rsid w:val="00DF5F25"/>
    <w:rsid w:val="00E109F7"/>
    <w:rsid w:val="00E16DE1"/>
    <w:rsid w:val="00E325F3"/>
    <w:rsid w:val="00E523F9"/>
    <w:rsid w:val="00E54563"/>
    <w:rsid w:val="00E62B43"/>
    <w:rsid w:val="00E65817"/>
    <w:rsid w:val="00E70592"/>
    <w:rsid w:val="00E726E7"/>
    <w:rsid w:val="00E72AD3"/>
    <w:rsid w:val="00E73A09"/>
    <w:rsid w:val="00E750AA"/>
    <w:rsid w:val="00E84F4D"/>
    <w:rsid w:val="00EA673F"/>
    <w:rsid w:val="00EB300E"/>
    <w:rsid w:val="00ED2324"/>
    <w:rsid w:val="00ED26AE"/>
    <w:rsid w:val="00ED5DC8"/>
    <w:rsid w:val="00EE0FCB"/>
    <w:rsid w:val="00EE38E4"/>
    <w:rsid w:val="00EF0343"/>
    <w:rsid w:val="00EF44E1"/>
    <w:rsid w:val="00F0387E"/>
    <w:rsid w:val="00F05D23"/>
    <w:rsid w:val="00F068A3"/>
    <w:rsid w:val="00F12E2F"/>
    <w:rsid w:val="00F15875"/>
    <w:rsid w:val="00F17ADC"/>
    <w:rsid w:val="00F21AC0"/>
    <w:rsid w:val="00F25715"/>
    <w:rsid w:val="00F25927"/>
    <w:rsid w:val="00F31D89"/>
    <w:rsid w:val="00F40627"/>
    <w:rsid w:val="00F40ADA"/>
    <w:rsid w:val="00F40D2B"/>
    <w:rsid w:val="00F4746F"/>
    <w:rsid w:val="00F63F36"/>
    <w:rsid w:val="00F728B1"/>
    <w:rsid w:val="00F76FE7"/>
    <w:rsid w:val="00F80058"/>
    <w:rsid w:val="00F86097"/>
    <w:rsid w:val="00F90258"/>
    <w:rsid w:val="00F94F45"/>
    <w:rsid w:val="00FA3F0F"/>
    <w:rsid w:val="00FA5270"/>
    <w:rsid w:val="00FC2E4D"/>
    <w:rsid w:val="00FC4A1A"/>
    <w:rsid w:val="00FD0B96"/>
    <w:rsid w:val="00FE4082"/>
    <w:rsid w:val="00FE44C8"/>
    <w:rsid w:val="00FF4CCC"/>
    <w:rsid w:val="00FF7EF9"/>
    <w:rsid w:val="05DF1FD7"/>
    <w:rsid w:val="05ED598E"/>
    <w:rsid w:val="0D1F233B"/>
    <w:rsid w:val="1FEF0C5D"/>
    <w:rsid w:val="27480762"/>
    <w:rsid w:val="27FA4E2B"/>
    <w:rsid w:val="27FE63D1"/>
    <w:rsid w:val="37BB2973"/>
    <w:rsid w:val="3C2B2D22"/>
    <w:rsid w:val="41A110FC"/>
    <w:rsid w:val="41AB53BC"/>
    <w:rsid w:val="45BA084E"/>
    <w:rsid w:val="48F5407A"/>
    <w:rsid w:val="51CD6463"/>
    <w:rsid w:val="5A977819"/>
    <w:rsid w:val="62591DBF"/>
    <w:rsid w:val="64295887"/>
    <w:rsid w:val="6F2117AA"/>
    <w:rsid w:val="6F7A06CF"/>
    <w:rsid w:val="78275F2A"/>
    <w:rsid w:val="78360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unhideWhenUsed/>
    <w:qFormat/>
    <w:uiPriority w:val="0"/>
    <w:pPr>
      <w:jc w:val="left"/>
    </w:pPr>
  </w:style>
  <w:style w:type="paragraph" w:styleId="3">
    <w:name w:val="Balloon Text"/>
    <w:basedOn w:val="1"/>
    <w:link w:val="11"/>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0"/>
    <w:rPr>
      <w:b/>
      <w:bCs/>
    </w:rPr>
  </w:style>
  <w:style w:type="character" w:styleId="9">
    <w:name w:val="annotation reference"/>
    <w:basedOn w:val="8"/>
    <w:semiHidden/>
    <w:unhideWhenUsed/>
    <w:qFormat/>
    <w:uiPriority w:val="0"/>
    <w:rPr>
      <w:sz w:val="21"/>
      <w:szCs w:val="21"/>
    </w:rPr>
  </w:style>
  <w:style w:type="paragraph" w:customStyle="1" w:styleId="10">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1">
    <w:name w:val="批注框文本 字符"/>
    <w:basedOn w:val="8"/>
    <w:link w:val="3"/>
    <w:qFormat/>
    <w:uiPriority w:val="0"/>
    <w:rPr>
      <w:rFonts w:asciiTheme="minorHAnsi" w:hAnsiTheme="minorHAnsi" w:eastAsiaTheme="minorEastAsia" w:cstheme="minorBidi"/>
      <w:kern w:val="2"/>
      <w:sz w:val="18"/>
      <w:szCs w:val="18"/>
    </w:rPr>
  </w:style>
  <w:style w:type="character" w:customStyle="1" w:styleId="12">
    <w:name w:val="页眉 字符"/>
    <w:basedOn w:val="8"/>
    <w:link w:val="5"/>
    <w:qFormat/>
    <w:uiPriority w:val="0"/>
    <w:rPr>
      <w:rFonts w:asciiTheme="minorHAnsi" w:hAnsiTheme="minorHAnsi" w:eastAsiaTheme="minorEastAsia" w:cstheme="minorBidi"/>
      <w:kern w:val="2"/>
      <w:sz w:val="18"/>
      <w:szCs w:val="18"/>
    </w:rPr>
  </w:style>
  <w:style w:type="character" w:customStyle="1" w:styleId="13">
    <w:name w:val="页脚 字符"/>
    <w:basedOn w:val="8"/>
    <w:link w:val="4"/>
    <w:qFormat/>
    <w:uiPriority w:val="0"/>
    <w:rPr>
      <w:rFonts w:asciiTheme="minorHAnsi" w:hAnsiTheme="minorHAnsi" w:eastAsiaTheme="minorEastAsia" w:cstheme="minorBidi"/>
      <w:kern w:val="2"/>
      <w:sz w:val="18"/>
      <w:szCs w:val="18"/>
    </w:rPr>
  </w:style>
  <w:style w:type="character" w:customStyle="1" w:styleId="14">
    <w:name w:val="批注文字 字符"/>
    <w:basedOn w:val="8"/>
    <w:link w:val="2"/>
    <w:qFormat/>
    <w:uiPriority w:val="0"/>
    <w:rPr>
      <w:rFonts w:asciiTheme="minorHAnsi" w:hAnsiTheme="minorHAnsi" w:eastAsiaTheme="minorEastAsia" w:cstheme="minorBidi"/>
      <w:kern w:val="2"/>
      <w:sz w:val="21"/>
      <w:szCs w:val="24"/>
    </w:rPr>
  </w:style>
  <w:style w:type="character" w:customStyle="1" w:styleId="15">
    <w:name w:val="批注主题 字符"/>
    <w:basedOn w:val="14"/>
    <w:link w:val="6"/>
    <w:semiHidden/>
    <w:qFormat/>
    <w:uiPriority w:val="0"/>
    <w:rPr>
      <w:rFonts w:asciiTheme="minorHAnsi" w:hAnsiTheme="minorHAnsi" w:eastAsiaTheme="minorEastAsia" w:cstheme="minorBidi"/>
      <w:b/>
      <w:bCs/>
      <w:kern w:val="2"/>
      <w:sz w:val="21"/>
      <w:szCs w:val="24"/>
    </w:rPr>
  </w:style>
  <w:style w:type="paragraph" w:styleId="16">
    <w:name w:val="List Paragraph"/>
    <w:basedOn w:val="1"/>
    <w:qFormat/>
    <w:uiPriority w:val="99"/>
    <w:pPr>
      <w:ind w:firstLine="420" w:firstLineChars="200"/>
    </w:pPr>
  </w:style>
  <w:style w:type="character" w:customStyle="1" w:styleId="17">
    <w:name w:val="fontstyle01"/>
    <w:basedOn w:val="8"/>
    <w:qFormat/>
    <w:uiPriority w:val="0"/>
    <w:rPr>
      <w:rFonts w:ascii="仿宋_GB2312" w:hAnsi="仿宋_GB2312" w:eastAsia="仿宋_GB2312" w:cs="仿宋_GB2312"/>
      <w:color w:val="000000"/>
      <w:sz w:val="28"/>
      <w:szCs w:val="28"/>
    </w:rPr>
  </w:style>
  <w:style w:type="paragraph" w:customStyle="1" w:styleId="18">
    <w:name w:val="列出段落1"/>
    <w:basedOn w:val="1"/>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DA8AD7-05A4-49A8-98BA-E759EC6CAE4D}">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7</Pages>
  <Words>476</Words>
  <Characters>2716</Characters>
  <Lines>22</Lines>
  <Paragraphs>6</Paragraphs>
  <TotalTime>8</TotalTime>
  <ScaleCrop>false</ScaleCrop>
  <LinksUpToDate>false</LinksUpToDate>
  <CharactersWithSpaces>3186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2024-08-19T07:48:00Z</dcterms:created>
  <dc:creator>王雯雯</dc:creator>
  <cp:lastModifiedBy>admin</cp:lastModifiedBy>
  <cp:lastPrinted>2024-08-20T05:34:00Z</cp:lastPrinted>
  <dcterms:modified xsi:type="dcterms:W3CDTF">2024-08-27T08:55:08Z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79E2E1C8BAC54011A2669BB752877A70</vt:lpwstr>
  </property>
</Properties>
</file>