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中山市进一步深化营商环境综合</w:t>
      </w:r>
    </w:p>
    <w:p>
      <w:pPr>
        <w:spacing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改革2019年工作要点</w:t>
      </w:r>
    </w:p>
    <w:p>
      <w:pPr>
        <w:spacing w:line="600" w:lineRule="exact"/>
        <w:ind w:firstLine="0" w:firstLineChars="0"/>
        <w:jc w:val="center"/>
        <w:rPr>
          <w:color w:val="000000"/>
          <w:szCs w:val="32"/>
        </w:rPr>
      </w:pPr>
    </w:p>
    <w:p>
      <w:pPr>
        <w:spacing w:line="600" w:lineRule="exact"/>
        <w:ind w:firstLine="664" w:firstLineChars="200"/>
        <w:rPr>
          <w:snapToGrid/>
          <w:color w:val="000000"/>
          <w:kern w:val="2"/>
          <w:szCs w:val="32"/>
        </w:rPr>
      </w:pPr>
      <w:r>
        <w:rPr>
          <w:rFonts w:hint="eastAsia"/>
          <w:color w:val="000000"/>
          <w:szCs w:val="32"/>
        </w:rPr>
        <w:t>为深入贯彻落实习近平新时代中国特色社会主义思想和党的十九大精神，深入学习贯彻习近平总书记对广东重要讲话和重要指示批示精神，进一步深化我市营商环境改革，营造稳定公平透明、可预期的营商环境，按照国家、省、市有关改革部署，制定本工作要点。</w:t>
      </w:r>
    </w:p>
    <w:p>
      <w:pPr>
        <w:spacing w:line="600" w:lineRule="exact"/>
        <w:ind w:firstLine="664" w:firstLineChars="200"/>
        <w:rPr>
          <w:rFonts w:eastAsia="黑体"/>
          <w:color w:val="000000"/>
          <w:kern w:val="2"/>
          <w:szCs w:val="32"/>
        </w:rPr>
      </w:pPr>
      <w:r>
        <w:rPr>
          <w:rFonts w:eastAsia="黑体"/>
          <w:color w:val="000000"/>
          <w:szCs w:val="32"/>
        </w:rPr>
        <w:t>一、</w:t>
      </w:r>
      <w:r>
        <w:rPr>
          <w:rFonts w:hint="eastAsia" w:eastAsia="黑体"/>
          <w:color w:val="000000"/>
          <w:szCs w:val="32"/>
        </w:rPr>
        <w:t>深化商事制度改革</w:t>
      </w:r>
    </w:p>
    <w:p>
      <w:pPr>
        <w:spacing w:line="600" w:lineRule="exact"/>
        <w:ind w:firstLine="664" w:firstLineChars="200"/>
        <w:rPr>
          <w:rFonts w:eastAsia="黑体"/>
          <w:color w:val="000000"/>
          <w:kern w:val="2"/>
          <w:szCs w:val="32"/>
        </w:rPr>
      </w:pPr>
      <w:r>
        <w:rPr>
          <w:rFonts w:hint="eastAsia" w:eastAsia="楷体_GB2312"/>
          <w:color w:val="000000"/>
          <w:szCs w:val="32"/>
        </w:rPr>
        <w:t>1．进一步压减企业开办时间。</w:t>
      </w:r>
      <w:r>
        <w:rPr>
          <w:rFonts w:hint="eastAsia" w:ascii="仿宋_GB2312" w:hAnsi="仿宋_GB2312" w:cs="仿宋_GB2312"/>
          <w:color w:val="000000"/>
          <w:szCs w:val="32"/>
        </w:rPr>
        <w:t>进一步强化银行账户实名制，推进通信管理、市场监管、公安机关和刻章网点、税务等信息共享，进一步推动企业开办提速，实现商事登记、印章刻制、申领发票全流程3个工作日内办结。深入推进企业开办全程网上办改革试点，实现企业开办各类事项100%网上可办。按照省的部署探索试行粤港澳投资跨境商事登记全程电子化和跨境公证文书等</w:t>
      </w:r>
      <w:r>
        <w:rPr>
          <w:rFonts w:hint="eastAsia" w:ascii="仿宋_GB2312" w:hAnsi="仿宋_GB2312" w:cs="仿宋_GB2312"/>
          <w:szCs w:val="32"/>
        </w:rPr>
        <w:t>互查平台</w:t>
      </w:r>
      <w:r>
        <w:rPr>
          <w:rFonts w:hint="eastAsia" w:ascii="仿宋_GB2312" w:hAnsi="仿宋_GB2312" w:cs="仿宋_GB2312"/>
          <w:color w:val="000000"/>
          <w:szCs w:val="32"/>
        </w:rPr>
        <w:t>。</w:t>
      </w:r>
      <w:r>
        <w:rPr>
          <w:rFonts w:hint="eastAsia" w:eastAsia="黑体"/>
          <w:color w:val="000000"/>
          <w:szCs w:val="32"/>
        </w:rPr>
        <w:t>（责任单位：市市场监管局、市公安局、市税务局、市政务服务数据管理局、人民银行中山市中心支行、市司法局）</w:t>
      </w:r>
    </w:p>
    <w:p>
      <w:pPr>
        <w:spacing w:line="600" w:lineRule="exact"/>
        <w:ind w:firstLine="664" w:firstLineChars="200"/>
        <w:rPr>
          <w:rFonts w:eastAsia="黑体"/>
          <w:color w:val="000000"/>
          <w:kern w:val="2"/>
          <w:szCs w:val="32"/>
        </w:rPr>
      </w:pPr>
      <w:r>
        <w:rPr>
          <w:rFonts w:hint="eastAsia" w:eastAsia="楷体_GB2312"/>
          <w:color w:val="000000"/>
          <w:szCs w:val="32"/>
        </w:rPr>
        <w:t>2．推进“证照分离”改革。</w:t>
      </w:r>
      <w:r>
        <w:rPr>
          <w:rFonts w:hint="eastAsia" w:ascii="仿宋_GB2312" w:hAnsi="仿宋_GB2312" w:cs="仿宋_GB2312"/>
          <w:szCs w:val="32"/>
        </w:rPr>
        <w:t>按照省的工作要求和总体部署，全面推开“证照分离”改革</w:t>
      </w:r>
      <w:r>
        <w:rPr>
          <w:rFonts w:hint="eastAsia"/>
          <w:color w:val="000000"/>
          <w:szCs w:val="32"/>
        </w:rPr>
        <w:t>，破解“准入不准营”“顽疾”。</w:t>
      </w:r>
      <w:r>
        <w:rPr>
          <w:rFonts w:hint="eastAsia" w:eastAsia="黑体"/>
          <w:color w:val="000000"/>
          <w:szCs w:val="32"/>
        </w:rPr>
        <w:t>（责任单位：市市场监管局、市政务服务数据管理局）</w:t>
      </w:r>
    </w:p>
    <w:p>
      <w:pPr>
        <w:spacing w:line="600" w:lineRule="exact"/>
        <w:ind w:firstLine="664" w:firstLineChars="200"/>
        <w:rPr>
          <w:rFonts w:eastAsia="黑体"/>
          <w:color w:val="000000"/>
          <w:kern w:val="2"/>
          <w:szCs w:val="32"/>
        </w:rPr>
      </w:pPr>
      <w:r>
        <w:rPr>
          <w:rFonts w:hint="eastAsia" w:eastAsia="楷体_GB2312"/>
          <w:color w:val="000000"/>
          <w:szCs w:val="32"/>
        </w:rPr>
        <w:t>3．便利企业注销登记。</w:t>
      </w:r>
      <w:r>
        <w:rPr>
          <w:rFonts w:hint="eastAsia" w:ascii="仿宋_GB2312" w:hAnsi="仿宋_GB2312" w:cs="仿宋_GB2312"/>
          <w:szCs w:val="32"/>
        </w:rPr>
        <w:t>依托省政务服务网企业注销网上服务专区，实现企业注销“一网”服务。压缩企业注销业务办理时限，对于符合条件的纳税人实行税务注销即办服务，注销营业执照的办理时限压缩至2个工作日以内，实现社保账户、印章等注销即来即办。落实国家和省关于企业简易注销登记改革的政策。</w:t>
      </w:r>
      <w:r>
        <w:rPr>
          <w:rFonts w:hint="eastAsia" w:eastAsia="黑体"/>
          <w:color w:val="000000"/>
          <w:szCs w:val="32"/>
        </w:rPr>
        <w:t>（责任单位：市市场监管局、市税务局、市公安局、市政务服务数据管理局）</w:t>
      </w:r>
    </w:p>
    <w:p>
      <w:pPr>
        <w:spacing w:line="600" w:lineRule="exact"/>
        <w:ind w:firstLine="664" w:firstLineChars="200"/>
        <w:rPr>
          <w:rFonts w:eastAsia="黑体"/>
          <w:color w:val="000000"/>
          <w:kern w:val="2"/>
          <w:szCs w:val="32"/>
        </w:rPr>
      </w:pPr>
      <w:r>
        <w:rPr>
          <w:rFonts w:hint="eastAsia" w:eastAsia="黑体"/>
          <w:color w:val="000000"/>
          <w:szCs w:val="32"/>
        </w:rPr>
        <w:t>二、深化工程建设项目审批制度改革</w:t>
      </w:r>
    </w:p>
    <w:p>
      <w:pPr>
        <w:spacing w:line="600" w:lineRule="exact"/>
        <w:ind w:firstLine="664" w:firstLineChars="200"/>
        <w:rPr>
          <w:rFonts w:eastAsia="黑体"/>
          <w:color w:val="000000"/>
          <w:kern w:val="2"/>
          <w:szCs w:val="32"/>
        </w:rPr>
      </w:pPr>
      <w:r>
        <w:rPr>
          <w:rFonts w:hint="eastAsia" w:eastAsia="楷体_GB2312"/>
          <w:color w:val="000000"/>
          <w:szCs w:val="32"/>
        </w:rPr>
        <w:t>4．优化审批程序。</w:t>
      </w:r>
      <w:r>
        <w:rPr>
          <w:rFonts w:hint="eastAsia"/>
          <w:color w:val="000000"/>
          <w:szCs w:val="32"/>
        </w:rPr>
        <w:t>将工程建设项目审批流程划分为立项用地规划许可、工程建设许可、施工许可、竣工验收等4个阶段，不同行业领域的项目可在此基础上按照“只少不多”的原则进一步优化审批阶段。对每个审批阶段，实行“一家牵头，一口受理、并联审批、限时办结”。将社会投资工程建设项目审批全过程（包括从立项到竣工验收和公共设施接入服务）时限压减至60个工作日以内。</w:t>
      </w:r>
      <w:r>
        <w:rPr>
          <w:rFonts w:hint="eastAsia" w:eastAsia="黑体"/>
          <w:color w:val="000000"/>
          <w:szCs w:val="32"/>
        </w:rPr>
        <w:t>（责任单位：市住房城乡建设局、市自然资源局、市政务服务数据管理局）</w:t>
      </w:r>
    </w:p>
    <w:p>
      <w:pPr>
        <w:spacing w:line="600" w:lineRule="exact"/>
        <w:ind w:firstLine="664" w:firstLineChars="200"/>
        <w:rPr>
          <w:rFonts w:eastAsia="黑体"/>
          <w:color w:val="000000"/>
          <w:szCs w:val="32"/>
        </w:rPr>
      </w:pPr>
      <w:r>
        <w:rPr>
          <w:rFonts w:hint="eastAsia" w:eastAsia="楷体_GB2312"/>
          <w:color w:val="000000"/>
          <w:szCs w:val="32"/>
        </w:rPr>
        <w:t>5．精简审批事项和环节。</w:t>
      </w:r>
      <w:r>
        <w:rPr>
          <w:rFonts w:hint="eastAsia"/>
          <w:snapToGrid/>
          <w:color w:val="000000"/>
          <w:spacing w:val="0"/>
          <w:kern w:val="0"/>
          <w:szCs w:val="32"/>
        </w:rPr>
        <w:t>取消社会投资项目大中型建设工程初步设计审查。取消建筑节能设计审查备案和施工、勘察、设计、监理合同备案手续。将项目选址意见书与用地预审同步办理、社会投资项目建设用地批准手续与建设用地规划许可同步办理。推行工业项目土地带方案出让制度，带方案出让项目不再对设计方案进行审查。</w:t>
      </w:r>
      <w:r>
        <w:rPr>
          <w:rFonts w:hint="eastAsia" w:eastAsia="黑体"/>
          <w:color w:val="000000"/>
          <w:szCs w:val="32"/>
        </w:rPr>
        <w:t>（责任单位：市住房城乡建设局、市自然资源局）</w:t>
      </w:r>
    </w:p>
    <w:p>
      <w:pPr>
        <w:spacing w:line="600" w:lineRule="exact"/>
        <w:ind w:firstLine="664" w:firstLineChars="200"/>
        <w:rPr>
          <w:rFonts w:eastAsia="黑体"/>
          <w:color w:val="000000"/>
          <w:kern w:val="2"/>
          <w:szCs w:val="32"/>
        </w:rPr>
      </w:pPr>
      <w:r>
        <w:rPr>
          <w:rFonts w:hint="eastAsia" w:eastAsia="楷体_GB2312"/>
          <w:color w:val="000000"/>
          <w:szCs w:val="32"/>
        </w:rPr>
        <w:t>6．推动“多规合一”。</w:t>
      </w:r>
      <w:r>
        <w:rPr>
          <w:rFonts w:hint="eastAsia" w:ascii="仿宋_GB2312" w:hAnsi="仿宋_GB2312" w:cs="仿宋_GB2312"/>
          <w:color w:val="000000"/>
          <w:szCs w:val="32"/>
        </w:rPr>
        <w:t>完善“多规合一”业务协同平台，在同一空间坐标上实现各类规划相互衔接和信息共享共用。</w:t>
      </w:r>
      <w:r>
        <w:rPr>
          <w:rFonts w:hint="eastAsia"/>
          <w:snapToGrid/>
          <w:color w:val="000000"/>
          <w:spacing w:val="0"/>
          <w:kern w:val="0"/>
          <w:szCs w:val="32"/>
        </w:rPr>
        <w:t>制定项目策划生成办法，</w:t>
      </w:r>
      <w:r>
        <w:rPr>
          <w:rFonts w:hint="eastAsia" w:ascii="仿宋_GB2312" w:hAnsi="仿宋_GB2312" w:cs="仿宋_GB2312"/>
          <w:color w:val="000000"/>
          <w:szCs w:val="32"/>
        </w:rPr>
        <w:t>以“一张蓝图”为基础建立空间协同机制，各部门协同统筹项目实施，</w:t>
      </w:r>
      <w:r>
        <w:rPr>
          <w:rFonts w:hint="eastAsia"/>
          <w:snapToGrid/>
          <w:color w:val="000000"/>
          <w:spacing w:val="0"/>
          <w:kern w:val="0"/>
          <w:szCs w:val="32"/>
        </w:rPr>
        <w:t>加快项目落地。</w:t>
      </w:r>
      <w:r>
        <w:rPr>
          <w:rFonts w:hint="eastAsia" w:eastAsia="黑体"/>
          <w:color w:val="000000"/>
          <w:szCs w:val="32"/>
        </w:rPr>
        <w:t>（责任单位：市自然资源局、市发展改革局）</w:t>
      </w:r>
    </w:p>
    <w:p>
      <w:pPr>
        <w:spacing w:line="600" w:lineRule="exact"/>
        <w:ind w:firstLine="664" w:firstLineChars="200"/>
        <w:rPr>
          <w:rFonts w:eastAsia="黑体"/>
          <w:color w:val="000000"/>
          <w:kern w:val="2"/>
          <w:szCs w:val="32"/>
        </w:rPr>
      </w:pPr>
      <w:r>
        <w:rPr>
          <w:rFonts w:hint="eastAsia" w:eastAsia="楷体_GB2312"/>
          <w:color w:val="000000"/>
          <w:szCs w:val="32"/>
        </w:rPr>
        <w:t>7．试行区域评估制度。</w:t>
      </w:r>
      <w:r>
        <w:rPr>
          <w:rFonts w:hint="eastAsia" w:ascii="仿宋_GB2312" w:hAnsi="仿宋_GB2312" w:cs="仿宋_GB2312"/>
          <w:color w:val="000000"/>
          <w:szCs w:val="32"/>
        </w:rPr>
        <w:t>在市级产业平台、产业园区</w:t>
      </w:r>
      <w:bookmarkStart w:id="0" w:name="_GoBack"/>
      <w:bookmarkEnd w:id="0"/>
      <w:r>
        <w:rPr>
          <w:rFonts w:hint="eastAsia" w:ascii="仿宋_GB2312" w:hAnsi="仿宋_GB2312" w:cs="仿宋_GB2312"/>
          <w:color w:val="000000"/>
          <w:szCs w:val="32"/>
        </w:rPr>
        <w:t>和其他有条件的区域实行区域评估制度，实现区域内建设项目共享评估成果，原则上不再进行出让地块项目相关评估</w:t>
      </w:r>
      <w:r>
        <w:rPr>
          <w:rFonts w:hint="eastAsia"/>
          <w:color w:val="000000"/>
          <w:szCs w:val="32"/>
        </w:rPr>
        <w:t>。</w:t>
      </w:r>
      <w:r>
        <w:rPr>
          <w:rFonts w:hint="eastAsia" w:eastAsia="黑体"/>
          <w:color w:val="000000"/>
          <w:szCs w:val="32"/>
        </w:rPr>
        <w:t>（责任单位：市自然资源局、市住房城乡建设局、各镇区）</w:t>
      </w:r>
    </w:p>
    <w:p>
      <w:pPr>
        <w:spacing w:line="600" w:lineRule="exact"/>
        <w:ind w:firstLine="664" w:firstLineChars="200"/>
        <w:rPr>
          <w:rFonts w:eastAsia="黑体"/>
          <w:color w:val="000000"/>
          <w:szCs w:val="32"/>
        </w:rPr>
      </w:pPr>
      <w:r>
        <w:rPr>
          <w:rFonts w:hint="eastAsia" w:eastAsia="楷体_GB2312"/>
          <w:color w:val="000000"/>
          <w:szCs w:val="32"/>
        </w:rPr>
        <w:t>8．实行联合审图和联合验收。</w:t>
      </w:r>
      <w:r>
        <w:rPr>
          <w:rFonts w:hint="eastAsia" w:ascii="仿宋_GB2312" w:hAnsi="仿宋_GB2312" w:cs="仿宋_GB2312"/>
          <w:color w:val="000000"/>
          <w:szCs w:val="32"/>
        </w:rPr>
        <w:t>将消防、人防、技防等技术审查并入施工图设计文件审查</w:t>
      </w:r>
      <w:r>
        <w:rPr>
          <w:rFonts w:hint="eastAsia"/>
          <w:color w:val="000000"/>
          <w:szCs w:val="32"/>
        </w:rPr>
        <w:t>。探索试行建设工程设计方案、项目初步设计、超限高层抗震设防合并审查。对规划、土地、消防、人防、档案等事项实行限时联合验收，统一竣工验收图纸和验收标准，</w:t>
      </w:r>
      <w:r>
        <w:rPr>
          <w:rFonts w:hint="eastAsia"/>
          <w:szCs w:val="32"/>
        </w:rPr>
        <w:t>联合</w:t>
      </w:r>
      <w:r>
        <w:rPr>
          <w:rFonts w:hint="eastAsia"/>
          <w:color w:val="000000"/>
          <w:szCs w:val="32"/>
        </w:rPr>
        <w:t>出具验收意见。对验收涉及的规划条件核实测量、人防测量以及不动产登记相关地籍测量、房屋测绘等，实行“一次委托、统一测绘、成果共享”。破除测绘等中介服务机构执业区域限制。</w:t>
      </w:r>
      <w:r>
        <w:rPr>
          <w:rFonts w:hint="eastAsia" w:eastAsia="黑体"/>
          <w:color w:val="000000"/>
          <w:szCs w:val="32"/>
        </w:rPr>
        <w:t>（责任单位：市住房城乡建设局、市自然资源局）</w:t>
      </w:r>
    </w:p>
    <w:p>
      <w:pPr>
        <w:spacing w:line="600" w:lineRule="exact"/>
        <w:ind w:firstLine="664" w:firstLineChars="200"/>
        <w:rPr>
          <w:rFonts w:eastAsia="黑体"/>
          <w:color w:val="000000"/>
          <w:kern w:val="2"/>
          <w:szCs w:val="32"/>
        </w:rPr>
      </w:pPr>
      <w:r>
        <w:rPr>
          <w:rFonts w:hint="eastAsia" w:eastAsia="楷体_GB2312"/>
          <w:color w:val="000000"/>
          <w:szCs w:val="32"/>
        </w:rPr>
        <w:t>9．试行告知承诺制。</w:t>
      </w:r>
      <w:r>
        <w:rPr>
          <w:rFonts w:hint="eastAsia"/>
          <w:color w:val="000000"/>
          <w:szCs w:val="32"/>
        </w:rPr>
        <w:t>制定开展投资项目和工程建设项目承诺制改革文件。制定工程建设项目告知承诺制审批事项清单、事中事后监管措施清单。对中小型社会投资工程建设项目施工许可证核发之前的审批事项，探索实行告知承诺制。</w:t>
      </w:r>
      <w:r>
        <w:rPr>
          <w:rFonts w:hint="eastAsia" w:eastAsia="黑体"/>
          <w:color w:val="000000"/>
          <w:szCs w:val="32"/>
        </w:rPr>
        <w:t>（责任单位：市发展改革局、市住房城乡建设局、市自然资源局、市政务服务数据管理局）</w:t>
      </w:r>
    </w:p>
    <w:p>
      <w:pPr>
        <w:spacing w:line="600" w:lineRule="exact"/>
        <w:ind w:firstLine="664" w:firstLineChars="200"/>
        <w:rPr>
          <w:rFonts w:eastAsia="黑体"/>
          <w:color w:val="000000"/>
          <w:szCs w:val="32"/>
        </w:rPr>
      </w:pPr>
      <w:r>
        <w:rPr>
          <w:rFonts w:hint="eastAsia" w:eastAsia="楷体_GB2312"/>
          <w:color w:val="000000"/>
          <w:szCs w:val="32"/>
        </w:rPr>
        <w:t>10．强化项目用地规划资源统筹</w:t>
      </w:r>
      <w:r>
        <w:rPr>
          <w:rFonts w:hint="eastAsia" w:eastAsia="楷体_GB2312"/>
          <w:color w:val="0000FF"/>
          <w:szCs w:val="32"/>
        </w:rPr>
        <w:t>。</w:t>
      </w:r>
      <w:r>
        <w:rPr>
          <w:rFonts w:hint="eastAsia"/>
          <w:color w:val="000000"/>
          <w:szCs w:val="32"/>
        </w:rPr>
        <w:t>划定工业用地控制线，保障工业发展空间。完善国有土地供应制度、闲置土地处置政策、土地收储政策，促进土地集约、高效利用。严格规范控规管理，完善控制性详细规划政策。落实全市新一轮“三旧”改造政策，研究推动村级工业园升级改造为平台。</w:t>
      </w:r>
      <w:r>
        <w:rPr>
          <w:rFonts w:hint="eastAsia" w:eastAsia="黑体"/>
          <w:color w:val="000000"/>
          <w:szCs w:val="32"/>
        </w:rPr>
        <w:t>（责任单位：市自然资源局）</w:t>
      </w:r>
    </w:p>
    <w:p>
      <w:pPr>
        <w:spacing w:line="600" w:lineRule="exact"/>
        <w:ind w:firstLine="664" w:firstLineChars="200"/>
        <w:rPr>
          <w:rFonts w:eastAsia="黑体"/>
          <w:color w:val="000000"/>
          <w:szCs w:val="32"/>
        </w:rPr>
      </w:pPr>
      <w:r>
        <w:rPr>
          <w:rFonts w:hint="eastAsia" w:eastAsia="黑体"/>
          <w:color w:val="000000"/>
          <w:szCs w:val="32"/>
        </w:rPr>
        <w:t>三、深入推进不动产登记改革</w:t>
      </w:r>
    </w:p>
    <w:p>
      <w:pPr>
        <w:spacing w:line="600" w:lineRule="exact"/>
        <w:ind w:firstLine="664" w:firstLineChars="200"/>
        <w:rPr>
          <w:rFonts w:eastAsia="黑体"/>
          <w:color w:val="000000"/>
          <w:kern w:val="2"/>
          <w:szCs w:val="32"/>
        </w:rPr>
      </w:pPr>
      <w:r>
        <w:rPr>
          <w:rFonts w:hint="eastAsia" w:eastAsia="楷体_GB2312"/>
          <w:color w:val="000000"/>
          <w:szCs w:val="32"/>
        </w:rPr>
        <w:t>11．优化完善“一窗受理、集成服务”。</w:t>
      </w:r>
      <w:r>
        <w:rPr>
          <w:rFonts w:hint="eastAsia"/>
          <w:color w:val="000000"/>
          <w:szCs w:val="32"/>
        </w:rPr>
        <w:t>优化提升不动产交易、登记、税收征缴“一窗受理、分类审核、并联审批、集成服务”模式，推动实现不动产登记线上线下一体化服务。争取年内将不动产抵押登记、其他登记类型（法人或其他组织建造房屋首次登记、涉及历史遗留问题、非公证继承不动产登记除外）分别压缩至2个、4个工作日内，并实现部分抵押登记事项现场办结。推进不动产登记与水电气和电视、网络过（立）户联动办理，提升便民服务水平。</w:t>
      </w:r>
      <w:r>
        <w:rPr>
          <w:rFonts w:hint="eastAsia" w:eastAsia="黑体"/>
          <w:color w:val="000000"/>
          <w:szCs w:val="32"/>
        </w:rPr>
        <w:t>（责任单位：市自然资源局、市住房城乡建设局、市税务局、市政务服务数据管理局）</w:t>
      </w:r>
    </w:p>
    <w:p>
      <w:pPr>
        <w:spacing w:line="600" w:lineRule="exact"/>
        <w:ind w:firstLine="664" w:firstLineChars="200"/>
        <w:rPr>
          <w:rFonts w:eastAsia="楷体_GB2312"/>
          <w:color w:val="000000"/>
          <w:kern w:val="2"/>
          <w:szCs w:val="32"/>
        </w:rPr>
      </w:pPr>
      <w:r>
        <w:rPr>
          <w:rFonts w:hint="eastAsia" w:eastAsia="楷体_GB2312"/>
          <w:color w:val="000000"/>
          <w:szCs w:val="32"/>
        </w:rPr>
        <w:t>12．优化不动产登记金融服务。</w:t>
      </w:r>
      <w:r>
        <w:rPr>
          <w:rFonts w:hint="eastAsia" w:ascii="仿宋_GB2312" w:hAnsi="仿宋_GB2312" w:cs="仿宋_GB2312"/>
          <w:color w:val="000000"/>
          <w:szCs w:val="32"/>
        </w:rPr>
        <w:t>建立不动产登记机构与银行间的信息共享平台，打通信息共享通道，实现商业银行线上办理不动产查册、抵押、注销和注销再抵押等相关业务，大幅提升服务效率、压减资料手续。将不动产登记服务窗口延伸至商业银行网点。</w:t>
      </w:r>
      <w:r>
        <w:rPr>
          <w:rFonts w:hint="eastAsia" w:eastAsia="黑体"/>
          <w:color w:val="000000"/>
          <w:szCs w:val="32"/>
        </w:rPr>
        <w:t>（责任单位：市自然资源局）</w:t>
      </w:r>
    </w:p>
    <w:p>
      <w:pPr>
        <w:spacing w:line="600" w:lineRule="exact"/>
        <w:ind w:firstLine="664" w:firstLineChars="200"/>
        <w:rPr>
          <w:rFonts w:eastAsia="黑体"/>
          <w:color w:val="000000"/>
          <w:szCs w:val="32"/>
        </w:rPr>
      </w:pPr>
      <w:r>
        <w:rPr>
          <w:rFonts w:hint="eastAsia" w:eastAsia="楷体_GB2312"/>
          <w:color w:val="000000"/>
          <w:szCs w:val="32"/>
        </w:rPr>
        <w:t>13．提升不动产登记质量。</w:t>
      </w:r>
      <w:r>
        <w:rPr>
          <w:rFonts w:hint="eastAsia" w:ascii="仿宋_GB2312" w:hAnsi="仿宋_GB2312" w:cs="仿宋_GB2312"/>
          <w:color w:val="000000"/>
          <w:szCs w:val="32"/>
        </w:rPr>
        <w:t>出台解决不动产登记历史遗留问题文件，妥善处理各类历史遗留问题。开展全覆盖不动产权籍调查。建立完善不动产登记信息平台，将权籍调查测绘成果和不动产登记信息统一纳入数据库管理。加快推进不动产登记信息网上查询。在门户网站公开土地权属争议案件数据，发布一审法院土地争议审判数据。</w:t>
      </w:r>
      <w:r>
        <w:rPr>
          <w:rFonts w:hint="eastAsia" w:eastAsia="黑体"/>
          <w:color w:val="000000"/>
          <w:szCs w:val="32"/>
        </w:rPr>
        <w:t>（责任单位：市自然资源局、市中级人民法院）</w:t>
      </w:r>
    </w:p>
    <w:p>
      <w:pPr>
        <w:spacing w:line="600" w:lineRule="exact"/>
        <w:ind w:firstLine="664" w:firstLineChars="200"/>
        <w:rPr>
          <w:rFonts w:eastAsia="黑体"/>
          <w:color w:val="000000"/>
          <w:szCs w:val="32"/>
        </w:rPr>
      </w:pPr>
      <w:r>
        <w:rPr>
          <w:rFonts w:hint="eastAsia" w:eastAsia="黑体"/>
          <w:color w:val="000000"/>
          <w:szCs w:val="32"/>
        </w:rPr>
        <w:t>四、大力推进纳税便利化改革</w:t>
      </w:r>
    </w:p>
    <w:p>
      <w:pPr>
        <w:spacing w:line="600" w:lineRule="exact"/>
        <w:ind w:firstLine="664" w:firstLineChars="200"/>
        <w:rPr>
          <w:rFonts w:eastAsia="黑体"/>
          <w:color w:val="000000"/>
          <w:kern w:val="2"/>
          <w:szCs w:val="32"/>
        </w:rPr>
      </w:pPr>
      <w:r>
        <w:rPr>
          <w:rFonts w:hint="eastAsia" w:eastAsia="楷体_GB2312"/>
          <w:color w:val="000000"/>
          <w:szCs w:val="32"/>
        </w:rPr>
        <w:t>14．减少纳税次数。</w:t>
      </w:r>
      <w:r>
        <w:rPr>
          <w:rFonts w:hint="eastAsia" w:ascii="仿宋_GB2312" w:hAnsi="仿宋_GB2312" w:cs="仿宋_GB2312"/>
          <w:szCs w:val="32"/>
        </w:rPr>
        <w:t>简化税种申报次数，根据国家税务总局及广东省税务局的工作统一安排，</w:t>
      </w:r>
      <w:r>
        <w:rPr>
          <w:rFonts w:hint="eastAsia" w:ascii="仿宋_GB2312" w:hAnsi="仿宋_GB2312" w:cs="仿宋_GB2312"/>
          <w:color w:val="000000"/>
          <w:szCs w:val="32"/>
        </w:rPr>
        <w:t>实行主税附加税合并申报，纳税人申报增值、消费税，附征的城市维护建设税、教育费附加、地方教育附加自动计算申报，实现一次性完成主税附加税申报。</w:t>
      </w:r>
      <w:r>
        <w:rPr>
          <w:rFonts w:hint="eastAsia" w:eastAsia="黑体"/>
          <w:color w:val="000000"/>
          <w:szCs w:val="32"/>
        </w:rPr>
        <w:t>（市税务局）</w:t>
      </w:r>
    </w:p>
    <w:p>
      <w:pPr>
        <w:spacing w:line="600" w:lineRule="exact"/>
        <w:ind w:firstLine="664" w:firstLineChars="200"/>
        <w:rPr>
          <w:rFonts w:eastAsia="黑体"/>
          <w:color w:val="000000"/>
          <w:kern w:val="2"/>
          <w:szCs w:val="32"/>
        </w:rPr>
      </w:pPr>
      <w:r>
        <w:rPr>
          <w:rFonts w:hint="eastAsia" w:eastAsia="楷体_GB2312"/>
          <w:color w:val="000000"/>
          <w:szCs w:val="32"/>
        </w:rPr>
        <w:t>15．压缩办税时间。</w:t>
      </w:r>
      <w:r>
        <w:rPr>
          <w:rFonts w:hint="eastAsia"/>
          <w:color w:val="000000"/>
          <w:szCs w:val="32"/>
        </w:rPr>
        <w:t>推行增值税小规模纳税人“一键申报”。打造税务电子证照和O2O体系，解决纳税人电子办税“最后一公里”。完善网上办税服务厅功能，实现纳税人自主查询和打印纳税记录。制定税费业务进驻行政服务中心标准。持续更新办税（缴费）事项“最多跑一次”清单，实现“最多跑一次”市、镇（区）全覆盖。精简涉税（费）资料清单管理。推动发票代开“零跑动</w:t>
      </w:r>
      <w:r>
        <w:rPr>
          <w:color w:val="000000"/>
          <w:szCs w:val="32"/>
        </w:rPr>
        <w:t>”</w:t>
      </w:r>
      <w:r>
        <w:rPr>
          <w:rFonts w:hint="eastAsia"/>
          <w:color w:val="000000"/>
          <w:szCs w:val="32"/>
        </w:rPr>
        <w:t>，实现税务机关网上代开增值税电子普通发票</w:t>
      </w:r>
      <w:r>
        <w:rPr>
          <w:rFonts w:hint="eastAsia"/>
          <w:color w:val="0000FF"/>
          <w:szCs w:val="32"/>
        </w:rPr>
        <w:t>。</w:t>
      </w:r>
      <w:r>
        <w:rPr>
          <w:rFonts w:hint="eastAsia"/>
          <w:szCs w:val="32"/>
        </w:rPr>
        <w:t>根据国家税务总局及省税务局的统一安排部署，推进取消一般纳税人增值税发票抄报税。年内全市纳税人年度纳税时间力争压缩至130小时内</w:t>
      </w:r>
      <w:r>
        <w:rPr>
          <w:rFonts w:hint="eastAsia"/>
          <w:color w:val="000000"/>
          <w:szCs w:val="32"/>
        </w:rPr>
        <w:t>。</w:t>
      </w:r>
      <w:r>
        <w:rPr>
          <w:rFonts w:hint="eastAsia" w:eastAsia="黑体"/>
          <w:color w:val="000000"/>
          <w:szCs w:val="32"/>
        </w:rPr>
        <w:t>（责任单位：市税务局）</w:t>
      </w:r>
    </w:p>
    <w:p>
      <w:pPr>
        <w:spacing w:line="600" w:lineRule="exact"/>
        <w:ind w:firstLine="664" w:firstLineChars="200"/>
        <w:rPr>
          <w:rFonts w:eastAsia="黑体"/>
          <w:color w:val="000000"/>
          <w:szCs w:val="32"/>
        </w:rPr>
      </w:pPr>
      <w:r>
        <w:rPr>
          <w:rFonts w:hint="eastAsia" w:eastAsia="楷体_GB2312"/>
          <w:color w:val="000000"/>
          <w:szCs w:val="32"/>
        </w:rPr>
        <w:t>16．优化税后流程。</w:t>
      </w:r>
      <w:r>
        <w:rPr>
          <w:rFonts w:hint="eastAsia"/>
          <w:color w:val="000000"/>
          <w:szCs w:val="32"/>
        </w:rPr>
        <w:t>实行全税种网上更正申报数据。简化多缴税款退税涉税资料，优化多缴退税流程，</w:t>
      </w:r>
      <w:r>
        <w:rPr>
          <w:rFonts w:hint="eastAsia"/>
          <w:szCs w:val="32"/>
        </w:rPr>
        <w:t>符合条件的出口企业实现出口退税申请、退税审核、退库办理业务全流程网上办理</w:t>
      </w:r>
      <w:r>
        <w:rPr>
          <w:rFonts w:hint="eastAsia"/>
          <w:color w:val="0000FF"/>
          <w:szCs w:val="32"/>
        </w:rPr>
        <w:t>。</w:t>
      </w:r>
      <w:r>
        <w:rPr>
          <w:rFonts w:hint="eastAsia"/>
          <w:color w:val="000000"/>
          <w:szCs w:val="32"/>
        </w:rPr>
        <w:t>取消出口退（免）税预申报，推广通过国际贸易“单一窗口”平台开展出口退税申报，进一步缩短退税时间，简化出口企业退（免）税备案信息采集，不再向纳税人采集与工商登记重复的30个项目。</w:t>
      </w:r>
      <w:r>
        <w:rPr>
          <w:rFonts w:hint="eastAsia" w:eastAsia="黑体"/>
          <w:color w:val="000000"/>
          <w:szCs w:val="32"/>
        </w:rPr>
        <w:t>（责任单位：市税务局）</w:t>
      </w:r>
    </w:p>
    <w:p>
      <w:pPr>
        <w:spacing w:line="600" w:lineRule="exact"/>
        <w:ind w:firstLine="664" w:firstLineChars="200"/>
        <w:rPr>
          <w:rFonts w:eastAsia="黑体"/>
          <w:color w:val="000000"/>
          <w:kern w:val="2"/>
          <w:szCs w:val="32"/>
        </w:rPr>
      </w:pPr>
      <w:r>
        <w:rPr>
          <w:rFonts w:hint="eastAsia" w:eastAsia="黑体"/>
          <w:color w:val="000000"/>
          <w:szCs w:val="32"/>
        </w:rPr>
        <w:t>五、进一步推进跨境贸易便利化</w:t>
      </w:r>
    </w:p>
    <w:p>
      <w:pPr>
        <w:spacing w:line="600" w:lineRule="exact"/>
        <w:ind w:firstLine="664" w:firstLineChars="200"/>
        <w:rPr>
          <w:rFonts w:eastAsia="黑体"/>
          <w:color w:val="000000"/>
          <w:kern w:val="2"/>
          <w:szCs w:val="32"/>
        </w:rPr>
      </w:pPr>
      <w:r>
        <w:rPr>
          <w:rFonts w:hint="eastAsia" w:eastAsia="楷体_GB2312"/>
          <w:color w:val="000000"/>
          <w:szCs w:val="32"/>
        </w:rPr>
        <w:t>17．优化口岸通关流程。</w:t>
      </w:r>
      <w:r>
        <w:rPr>
          <w:rFonts w:hint="eastAsia"/>
          <w:szCs w:val="32"/>
        </w:rPr>
        <w:t>大力推进海关与检验检疫业务全面深度融合，加大“提前申报”“自报自缴”通关模式推广力度，对查验后仅需改单放行的货物实行“先放行后改单”作业模式。加强部门联动，实现“一次申报、一次查验、一次放行”便利化通关，全力打造涵盖跨境电商进出口的多种通关渠道。简化企业办理进口集装箱放箱设备交接单发放。优化随附单证，企业不需再向海关提交纸质报关委托书。进口申报环节企业无需向海关提交装箱清单，出口申报环节企业无需向海关提交发票、装箱清单。复制推广第三方采信制度。</w:t>
      </w:r>
      <w:r>
        <w:rPr>
          <w:rFonts w:hint="eastAsia" w:eastAsia="黑体"/>
          <w:color w:val="000000"/>
          <w:szCs w:val="32"/>
        </w:rPr>
        <w:t>（责任单位：中山海关、</w:t>
      </w:r>
      <w:r>
        <w:rPr>
          <w:rFonts w:hint="eastAsia" w:eastAsia="黑体"/>
          <w:szCs w:val="32"/>
        </w:rPr>
        <w:t>中山港海关</w:t>
      </w:r>
      <w:r>
        <w:rPr>
          <w:rFonts w:hint="eastAsia" w:eastAsia="黑体"/>
          <w:color w:val="000000"/>
          <w:szCs w:val="32"/>
        </w:rPr>
        <w:t>）</w:t>
      </w:r>
    </w:p>
    <w:p>
      <w:pPr>
        <w:spacing w:line="600" w:lineRule="exact"/>
        <w:ind w:firstLine="664" w:firstLineChars="200"/>
        <w:rPr>
          <w:rFonts w:eastAsia="黑体"/>
          <w:color w:val="000000"/>
          <w:kern w:val="2"/>
          <w:szCs w:val="32"/>
        </w:rPr>
      </w:pPr>
      <w:r>
        <w:rPr>
          <w:rFonts w:hint="eastAsia" w:eastAsia="楷体_GB2312"/>
          <w:color w:val="000000"/>
          <w:szCs w:val="32"/>
        </w:rPr>
        <w:t>18．</w:t>
      </w:r>
      <w:r>
        <w:rPr>
          <w:rFonts w:hint="eastAsia" w:ascii="楷体_GB2312" w:hAnsi="楷体_GB2312" w:eastAsia="楷体_GB2312" w:cs="楷体_GB2312"/>
          <w:color w:val="000000"/>
          <w:szCs w:val="32"/>
        </w:rPr>
        <w:t>提升口岸管理信息化智能化水平。</w:t>
      </w:r>
      <w:r>
        <w:rPr>
          <w:rFonts w:hint="eastAsia" w:ascii="仿宋_GB2312" w:hAnsi="仿宋_GB2312" w:cs="仿宋_GB2312"/>
          <w:color w:val="000000"/>
          <w:szCs w:val="32"/>
        </w:rPr>
        <w:t>全面推广国际贸易“单一窗口”标准版各项应用功能上线应用,年底前实现主要业务应用达100%。探索建设口岸物流信息平台,推动实现口岸物流信息电子化流转,逐步实现口岸单证无纸化，压缩流转环节和时间。</w:t>
      </w:r>
      <w:r>
        <w:rPr>
          <w:rFonts w:hint="eastAsia" w:ascii="黑体" w:hAnsi="黑体" w:eastAsia="黑体" w:cs="黑体"/>
          <w:color w:val="000000"/>
          <w:szCs w:val="32"/>
        </w:rPr>
        <w:t>(责任单位:</w:t>
      </w:r>
      <w:r>
        <w:rPr>
          <w:rFonts w:hint="eastAsia" w:eastAsia="黑体"/>
          <w:color w:val="000000"/>
          <w:szCs w:val="32"/>
        </w:rPr>
        <w:t>市商务局、中山海关、中山海事局、</w:t>
      </w:r>
      <w:r>
        <w:rPr>
          <w:rFonts w:hint="eastAsia" w:eastAsia="黑体"/>
          <w:szCs w:val="32"/>
        </w:rPr>
        <w:t>中山港海关、中山边检站</w:t>
      </w:r>
      <w:r>
        <w:rPr>
          <w:rFonts w:hint="eastAsia" w:eastAsia="黑体"/>
          <w:color w:val="000000"/>
          <w:szCs w:val="32"/>
        </w:rPr>
        <w:t>）</w:t>
      </w:r>
    </w:p>
    <w:p>
      <w:pPr>
        <w:spacing w:line="600" w:lineRule="exact"/>
        <w:ind w:firstLine="664" w:firstLineChars="200"/>
        <w:rPr>
          <w:rFonts w:eastAsia="黑体"/>
          <w:kern w:val="2"/>
          <w:szCs w:val="32"/>
        </w:rPr>
      </w:pPr>
      <w:r>
        <w:rPr>
          <w:rFonts w:hint="eastAsia" w:eastAsia="楷体_GB2312"/>
          <w:color w:val="000000"/>
          <w:szCs w:val="32"/>
        </w:rPr>
        <w:t>19．</w:t>
      </w:r>
      <w:r>
        <w:rPr>
          <w:rFonts w:hint="eastAsia" w:ascii="楷体_GB2312" w:hAnsi="楷体_GB2312" w:eastAsia="楷体_GB2312" w:cs="楷体_GB2312"/>
          <w:color w:val="000000"/>
          <w:szCs w:val="32"/>
        </w:rPr>
        <w:t>优化港口经营服务。</w:t>
      </w:r>
      <w:r>
        <w:rPr>
          <w:rFonts w:hint="eastAsia"/>
          <w:color w:val="000000"/>
          <w:szCs w:val="32"/>
        </w:rPr>
        <w:t>破除港口经营服务企业垄断,切实放开准入，引入竞争企业。年内全市港口经营服务企业全面优化、公开作业流程和时限标准。推进药品进口口岸建设。</w:t>
      </w:r>
      <w:r>
        <w:rPr>
          <w:rFonts w:hint="eastAsia"/>
          <w:szCs w:val="32"/>
        </w:rPr>
        <w:t>积极推进中山保税物流中心及周边地块申建综合保税区。</w:t>
      </w:r>
      <w:r>
        <w:rPr>
          <w:rFonts w:hint="eastAsia" w:eastAsia="黑体"/>
          <w:color w:val="000000"/>
          <w:szCs w:val="32"/>
        </w:rPr>
        <w:t>（责任单位：</w:t>
      </w:r>
      <w:r>
        <w:rPr>
          <w:rFonts w:hint="eastAsia" w:eastAsia="黑体"/>
          <w:szCs w:val="32"/>
        </w:rPr>
        <w:t>市商务局、市交通运输局、中山海关、市市场监督管理局）</w:t>
      </w:r>
    </w:p>
    <w:p>
      <w:pPr>
        <w:spacing w:line="600" w:lineRule="exact"/>
        <w:ind w:firstLine="664" w:firstLineChars="200"/>
        <w:rPr>
          <w:rFonts w:eastAsia="黑体"/>
          <w:color w:val="000000"/>
          <w:szCs w:val="32"/>
        </w:rPr>
      </w:pPr>
      <w:r>
        <w:rPr>
          <w:rFonts w:hint="eastAsia" w:eastAsia="楷体_GB2312"/>
          <w:color w:val="000000"/>
          <w:szCs w:val="32"/>
        </w:rPr>
        <w:t>20．规范降低口岸收费。</w:t>
      </w:r>
      <w:r>
        <w:rPr>
          <w:rFonts w:hint="eastAsia"/>
          <w:color w:val="000000"/>
          <w:szCs w:val="32"/>
        </w:rPr>
        <w:t>开展口岸收费检查，完善规范口岸收费目录清单并在国际贸易“单一窗口”公布。推动免除货物港务费地方政府留存部分项目收费。探索扩大免除查验未发现问题外贸企业吊装移位仓储费用适用范围。推动降低货代、船代、物流、仓储、港口服务等环节经营服务性收费。推动整合降低报关报检服务费用,落实检疫处理降费政策。建立行业主管部门与船公司及船代货代公司协调沟通机制，推动降费政策红利惠及外贸企业。</w:t>
      </w:r>
      <w:r>
        <w:rPr>
          <w:rFonts w:hint="eastAsia" w:eastAsia="黑体"/>
          <w:color w:val="000000"/>
          <w:szCs w:val="32"/>
        </w:rPr>
        <w:t>（责任单位：市商务局、市财政局、市发展改革局、市交通运输局、市市场监管局、中山海关、中山海事局、</w:t>
      </w:r>
      <w:r>
        <w:rPr>
          <w:rFonts w:hint="eastAsia" w:eastAsia="黑体"/>
          <w:szCs w:val="32"/>
        </w:rPr>
        <w:t>中山港海关）</w:t>
      </w:r>
    </w:p>
    <w:p>
      <w:pPr>
        <w:spacing w:line="600" w:lineRule="exact"/>
        <w:ind w:firstLine="664" w:firstLineChars="200"/>
        <w:rPr>
          <w:rFonts w:eastAsia="黑体"/>
          <w:color w:val="000000"/>
          <w:szCs w:val="32"/>
        </w:rPr>
      </w:pPr>
      <w:r>
        <w:rPr>
          <w:rFonts w:hint="eastAsia" w:eastAsia="黑体"/>
          <w:color w:val="000000"/>
          <w:szCs w:val="32"/>
        </w:rPr>
        <w:t>六、优化水电气及网络报装服务</w:t>
      </w:r>
    </w:p>
    <w:p>
      <w:pPr>
        <w:spacing w:line="600" w:lineRule="exact"/>
        <w:ind w:firstLine="664" w:firstLineChars="200"/>
        <w:rPr>
          <w:rFonts w:ascii="仿宋_GB2312" w:hAnsi="仿宋_GB2312" w:cs="仿宋_GB2312"/>
          <w:color w:val="000000"/>
          <w:szCs w:val="32"/>
        </w:rPr>
      </w:pPr>
      <w:r>
        <w:rPr>
          <w:rFonts w:hint="eastAsia" w:eastAsia="楷体_GB2312"/>
          <w:color w:val="000000"/>
          <w:szCs w:val="32"/>
        </w:rPr>
        <w:t>21．改进用电报装。</w:t>
      </w:r>
      <w:r>
        <w:rPr>
          <w:rFonts w:hint="eastAsia" w:ascii="仿宋_GB2312" w:hAnsi="仿宋_GB2312" w:cs="仿宋_GB2312"/>
          <w:color w:val="000000"/>
          <w:szCs w:val="32"/>
        </w:rPr>
        <w:t>进一步简化用电报装流程，电网企业办理低压非居民用户报装（不含扩建及外线工程施工）不超过3个工作日，电网企业办理高压单电源和双电源报装业务（不含扩建及外线工程施工）总时限分别</w:t>
      </w:r>
      <w:r>
        <w:rPr>
          <w:rFonts w:hint="eastAsia" w:ascii="仿宋_GB2312" w:hAnsi="仿宋_GB2312" w:cs="仿宋_GB2312"/>
          <w:szCs w:val="32"/>
        </w:rPr>
        <w:t>不超过15个和20个工作日。</w:t>
      </w:r>
      <w:r>
        <w:rPr>
          <w:rFonts w:hint="eastAsia" w:ascii="黑体" w:hAnsi="黑体" w:eastAsia="黑体" w:cs="黑体"/>
          <w:color w:val="000000"/>
          <w:szCs w:val="32"/>
        </w:rPr>
        <w:t>（责任单位：中山供电局)</w:t>
      </w:r>
    </w:p>
    <w:p>
      <w:pPr>
        <w:spacing w:line="600" w:lineRule="exact"/>
        <w:ind w:firstLine="664" w:firstLineChars="200"/>
        <w:rPr>
          <w:rFonts w:ascii="黑体" w:hAnsi="黑体" w:eastAsia="黑体" w:cs="黑体"/>
          <w:color w:val="000000"/>
          <w:szCs w:val="32"/>
        </w:rPr>
      </w:pPr>
      <w:r>
        <w:rPr>
          <w:rFonts w:hint="eastAsia" w:eastAsia="楷体_GB2312"/>
          <w:color w:val="000000"/>
          <w:szCs w:val="32"/>
        </w:rPr>
        <w:t>22．优化水气报装。</w:t>
      </w:r>
      <w:r>
        <w:rPr>
          <w:rFonts w:hint="eastAsia" w:ascii="仿宋_GB2312" w:hAnsi="仿宋_GB2312" w:cs="仿宋_GB2312"/>
          <w:color w:val="000000"/>
          <w:szCs w:val="32"/>
        </w:rPr>
        <w:t>改进优化水气报装，规范报装流程，压减办理环节和申请材料。9月底前将供水企业报装环节(不含外线工程施工环节)优化为受理申请、方案答复、竣工装表3个环节,各环节总时限不超过9个工作日,其中不涉及外线工程的项目压减至受理申请、装表通水2个环节不超过4个工作日。9月底前将供气企业报装环节(不含外线工程施工环节)压减至用气申报、验收通气两个环节，总时限压减至10个工作日内，其中不涉及外线工程的项目压减至4个工作日内。</w:t>
      </w:r>
      <w:r>
        <w:rPr>
          <w:rFonts w:hint="eastAsia" w:ascii="黑体" w:hAnsi="黑体" w:eastAsia="黑体" w:cs="黑体"/>
          <w:color w:val="000000"/>
          <w:szCs w:val="32"/>
        </w:rPr>
        <w:t>（责任单位:市住房城乡建设局、市水务局）</w:t>
      </w:r>
    </w:p>
    <w:p>
      <w:pPr>
        <w:spacing w:line="600" w:lineRule="exact"/>
        <w:ind w:firstLine="664" w:firstLineChars="200"/>
        <w:rPr>
          <w:rFonts w:ascii="黑体" w:hAnsi="黑体" w:eastAsia="黑体" w:cs="黑体"/>
          <w:color w:val="000000"/>
          <w:szCs w:val="32"/>
        </w:rPr>
      </w:pPr>
      <w:r>
        <w:rPr>
          <w:rFonts w:hint="eastAsia" w:eastAsia="楷体_GB2312"/>
          <w:color w:val="000000"/>
          <w:szCs w:val="32"/>
        </w:rPr>
        <w:t>23.规范网络接入。</w:t>
      </w:r>
      <w:r>
        <w:rPr>
          <w:rFonts w:hint="eastAsia" w:ascii="仿宋_GB2312" w:hAnsi="仿宋_GB2312" w:cs="仿宋_GB2312"/>
          <w:color w:val="000000"/>
          <w:szCs w:val="32"/>
        </w:rPr>
        <w:t>9月底前实现从项目申请到运营商完成现场查勘、方案制定、预算编制并将合同交由用户进行商业谈判的时间不超过2个工作日，完成工程施工、竣工验收和通网的时间不超过5个工作日；附近无通信管网的企业用户，在经政府有关部门审批同意建设管网后，从项目申请到完成现场勘查、方案制定、预算编制并将合同交由用户进行商业谈判的时间不超过5个工作日，完成工程施工、竣工验收和通网的时间不超过10个工作日。</w:t>
      </w:r>
      <w:r>
        <w:rPr>
          <w:rFonts w:hint="eastAsia" w:ascii="黑体" w:hAnsi="黑体" w:eastAsia="黑体" w:cs="黑体"/>
          <w:color w:val="000000"/>
          <w:szCs w:val="32"/>
        </w:rPr>
        <w:t>（责任单位:市工业和信息化局、中国移动中山分公司、中国联通中山分公司、中国电信中山分公司）</w:t>
      </w:r>
    </w:p>
    <w:p>
      <w:pPr>
        <w:spacing w:line="600" w:lineRule="exact"/>
        <w:ind w:firstLine="664" w:firstLineChars="200"/>
        <w:rPr>
          <w:rFonts w:ascii="黑体" w:hAnsi="黑体" w:eastAsia="黑体" w:cs="黑体"/>
          <w:color w:val="000000"/>
          <w:szCs w:val="32"/>
        </w:rPr>
      </w:pPr>
      <w:r>
        <w:rPr>
          <w:rFonts w:hint="eastAsia" w:eastAsia="楷体_GB2312"/>
          <w:color w:val="000000"/>
          <w:szCs w:val="32"/>
        </w:rPr>
        <w:t>24．推进水电气和网络报装外线工程报建审批改革。</w:t>
      </w:r>
      <w:r>
        <w:rPr>
          <w:rFonts w:hint="eastAsia"/>
          <w:color w:val="000000"/>
          <w:szCs w:val="32"/>
        </w:rPr>
        <w:t>进一步精简、合并水电气网络报装外线工程报建涉及的非许可类管理手续，规范征询工程沿线单位意见等前置手续的办理标准和时限。建立水电气网络报装外线工程报建联合审批平台，对涉及的管线工程规划许可、占用挖掘道路审批等各类审批和管理手续全面实行并联办理，实现行政审批全流程总时限不超过10个工作日。</w:t>
      </w:r>
      <w:r>
        <w:rPr>
          <w:rFonts w:hint="eastAsia" w:ascii="黑体" w:hAnsi="黑体" w:eastAsia="黑体" w:cs="黑体"/>
          <w:color w:val="000000"/>
          <w:szCs w:val="32"/>
        </w:rPr>
        <w:t>(责任单位:市住房城乡建设局、市自然资源局、市城市管理和综合执法局、市水务局)</w:t>
      </w:r>
    </w:p>
    <w:p>
      <w:pPr>
        <w:spacing w:line="600" w:lineRule="exact"/>
        <w:ind w:firstLine="664" w:firstLineChars="200"/>
        <w:rPr>
          <w:rFonts w:ascii="黑体" w:hAnsi="黑体" w:eastAsia="黑体" w:cs="黑体"/>
          <w:color w:val="000000"/>
          <w:szCs w:val="32"/>
        </w:rPr>
      </w:pPr>
      <w:r>
        <w:rPr>
          <w:rFonts w:hint="eastAsia" w:eastAsia="楷体_GB2312"/>
          <w:color w:val="000000"/>
          <w:szCs w:val="32"/>
        </w:rPr>
        <w:t>25．创新水电气和网络报装服务模式。</w:t>
      </w:r>
      <w:r>
        <w:rPr>
          <w:rFonts w:hint="eastAsia"/>
          <w:color w:val="000000"/>
          <w:szCs w:val="32"/>
        </w:rPr>
        <w:t>全面取消在水电气报装中自行设立的附加审批要件和手续。全面推进水电气和电信企业向社会公开水电气网络报装流程、时限和收费标准。全面推进供水、供电、供气服务进驻行政服务中心，实行“一站式”服务。依托“粤省事”移动政务服务平台全面推进水电气和电信企业开展“互联网+线上办理”和预约上门服务。</w:t>
      </w:r>
      <w:r>
        <w:rPr>
          <w:rFonts w:hint="eastAsia" w:ascii="黑体" w:hAnsi="黑体" w:eastAsia="黑体" w:cs="黑体"/>
          <w:color w:val="000000"/>
          <w:szCs w:val="32"/>
        </w:rPr>
        <w:t>(责任单位：市住房城乡建设局、市工业和信息化局、市政务服务数据管理局、中山供电局、市城市管理和综合执法局、市水务局、中国移动中山分公司、中国联通中山分公司、中国电信中山分公司)</w:t>
      </w:r>
    </w:p>
    <w:p>
      <w:pPr>
        <w:spacing w:line="600" w:lineRule="exact"/>
        <w:ind w:firstLine="664" w:firstLineChars="200"/>
        <w:rPr>
          <w:rFonts w:eastAsia="黑体"/>
          <w:color w:val="000000"/>
          <w:kern w:val="2"/>
          <w:szCs w:val="32"/>
        </w:rPr>
      </w:pPr>
      <w:r>
        <w:rPr>
          <w:rFonts w:hint="eastAsia" w:eastAsia="黑体"/>
          <w:color w:val="000000"/>
          <w:szCs w:val="32"/>
        </w:rPr>
        <w:t>七、打造更优信用环境</w:t>
      </w:r>
    </w:p>
    <w:p>
      <w:pPr>
        <w:spacing w:line="600" w:lineRule="exact"/>
        <w:ind w:firstLine="664" w:firstLineChars="200"/>
        <w:rPr>
          <w:rFonts w:eastAsia="黑体"/>
          <w:color w:val="000000"/>
          <w:kern w:val="2"/>
          <w:szCs w:val="32"/>
        </w:rPr>
      </w:pPr>
      <w:r>
        <w:rPr>
          <w:rFonts w:hint="eastAsia" w:eastAsia="楷体_GB2312"/>
          <w:color w:val="000000"/>
          <w:szCs w:val="32"/>
        </w:rPr>
        <w:t>26．加快设立信用制度标准。</w:t>
      </w:r>
      <w:r>
        <w:rPr>
          <w:rFonts w:hint="eastAsia"/>
          <w:color w:val="000000"/>
          <w:szCs w:val="32"/>
        </w:rPr>
        <w:t>配合省发展改革委做好《广东省社会信用条例》出台工作。进一步建立公共信用信息目录清单、行为清单、应用清单等标准规范，落实省发展改革委制定的信用修复和异议处理管理办法。</w:t>
      </w:r>
      <w:r>
        <w:rPr>
          <w:rFonts w:hint="eastAsia" w:ascii="黑体" w:hAnsi="黑体" w:eastAsia="黑体" w:cs="黑体"/>
          <w:color w:val="000000"/>
          <w:szCs w:val="32"/>
        </w:rPr>
        <w:t>(责任单位：市发展改革局、市司法局)</w:t>
      </w:r>
      <w:r>
        <w:rPr>
          <w:rFonts w:hint="eastAsia"/>
          <w:color w:val="000000"/>
          <w:szCs w:val="32"/>
        </w:rPr>
        <w:t>。</w:t>
      </w:r>
    </w:p>
    <w:p>
      <w:pPr>
        <w:spacing w:line="600" w:lineRule="exact"/>
        <w:ind w:firstLine="664" w:firstLineChars="200"/>
        <w:rPr>
          <w:rFonts w:eastAsia="黑体"/>
          <w:color w:val="000000"/>
          <w:kern w:val="2"/>
          <w:szCs w:val="32"/>
        </w:rPr>
      </w:pPr>
      <w:r>
        <w:rPr>
          <w:rFonts w:hint="eastAsia" w:eastAsia="楷体_GB2312"/>
          <w:color w:val="000000"/>
          <w:szCs w:val="32"/>
        </w:rPr>
        <w:t>27．加强诚信政府建设。</w:t>
      </w:r>
      <w:r>
        <w:rPr>
          <w:rFonts w:hint="eastAsia" w:ascii="仿宋_GB2312" w:hAnsi="仿宋_GB2312" w:cs="仿宋_GB2312"/>
          <w:color w:val="000000"/>
          <w:szCs w:val="32"/>
        </w:rPr>
        <w:t>按照国家和省部署开展城市政务诚信状况监测评价，组织开展政府机构失信问题专项治理，梳理政府对企业失信事项，提出依法依规限期解决的措施。落实省制定的因政府规划调整、政策变化造成企业合法权益受损的补偿救济机制。</w:t>
      </w:r>
      <w:r>
        <w:rPr>
          <w:rFonts w:hint="eastAsia" w:ascii="黑体" w:hAnsi="黑体" w:eastAsia="黑体" w:cs="黑体"/>
          <w:color w:val="000000"/>
          <w:szCs w:val="32"/>
        </w:rPr>
        <w:t>(责任单位：市发展改革局、市司法局、市政府办公室、市各有关部门、各镇区)</w:t>
      </w:r>
    </w:p>
    <w:p>
      <w:pPr>
        <w:spacing w:line="600" w:lineRule="exact"/>
        <w:ind w:firstLine="664" w:firstLineChars="200"/>
        <w:rPr>
          <w:rFonts w:eastAsia="黑体"/>
          <w:color w:val="000000"/>
          <w:kern w:val="2"/>
          <w:szCs w:val="32"/>
        </w:rPr>
      </w:pPr>
      <w:r>
        <w:rPr>
          <w:rFonts w:hint="eastAsia" w:eastAsia="楷体_GB2312"/>
          <w:color w:val="000000"/>
          <w:szCs w:val="32"/>
        </w:rPr>
        <w:t>28．完善“信用中山”平台。</w:t>
      </w:r>
      <w:r>
        <w:rPr>
          <w:rFonts w:hint="eastAsia" w:ascii="仿宋_GB2312" w:hAnsi="仿宋_GB2312" w:cs="仿宋_GB2312"/>
          <w:color w:val="000000"/>
          <w:szCs w:val="32"/>
        </w:rPr>
        <w:t>健全信用信息归集共享机制，推动实现国家、省、市信用数据常态化全量共享,提升平台网站服务功能,实现全市公共信用信息“一网通查”。全面落实统一社会信用代码制度。</w:t>
      </w:r>
      <w:r>
        <w:rPr>
          <w:rFonts w:hint="eastAsia" w:ascii="黑体" w:hAnsi="黑体" w:eastAsia="黑体" w:cs="黑体"/>
          <w:color w:val="000000"/>
          <w:szCs w:val="32"/>
        </w:rPr>
        <w:t>(责任单位：市发展改革局、人民银行中山市中心支行、市市场监管局、市各有关部门)</w:t>
      </w:r>
    </w:p>
    <w:p>
      <w:pPr>
        <w:spacing w:line="600" w:lineRule="exact"/>
        <w:ind w:firstLine="664" w:firstLineChars="200"/>
        <w:rPr>
          <w:color w:val="000000"/>
          <w:kern w:val="2"/>
          <w:szCs w:val="32"/>
        </w:rPr>
      </w:pPr>
      <w:r>
        <w:rPr>
          <w:rFonts w:hint="eastAsia" w:eastAsia="楷体_GB2312"/>
          <w:color w:val="000000"/>
          <w:szCs w:val="32"/>
        </w:rPr>
        <w:t>29．推进信用联合奖惩实施落地。</w:t>
      </w:r>
      <w:r>
        <w:rPr>
          <w:rFonts w:hint="eastAsia" w:ascii="仿宋_GB2312" w:hAnsi="仿宋_GB2312" w:cs="仿宋_GB2312"/>
          <w:color w:val="000000" w:themeColor="text1"/>
          <w:szCs w:val="32"/>
        </w:rPr>
        <w:t>在全市全面推动信用信息查询嵌入行政审批流程，将信用信息查询和实施联合奖惩作为必要环节嵌入到行政审批、事中事后监管、公共资源交易等业务流程中，</w:t>
      </w:r>
      <w:r>
        <w:rPr>
          <w:rFonts w:hint="eastAsia" w:ascii="仿宋_GB2312" w:hAnsi="仿宋_GB2312" w:cs="仿宋_GB2312"/>
          <w:color w:val="000000"/>
          <w:szCs w:val="32"/>
        </w:rPr>
        <w:t>确保应查必查、奖惩到位,构建全市信用联合奖惩“一张网”。</w:t>
      </w:r>
      <w:r>
        <w:rPr>
          <w:rFonts w:hint="eastAsia" w:ascii="黑体" w:hAnsi="黑体" w:eastAsia="黑体" w:cs="黑体"/>
          <w:color w:val="000000"/>
          <w:szCs w:val="32"/>
        </w:rPr>
        <w:t>（责任单位:市发展改革局、市政务服务数据管理局、市各有关部门）</w:t>
      </w:r>
    </w:p>
    <w:p>
      <w:pPr>
        <w:spacing w:line="600" w:lineRule="exact"/>
        <w:ind w:firstLine="664" w:firstLineChars="200"/>
        <w:rPr>
          <w:color w:val="000000"/>
          <w:kern w:val="2"/>
          <w:szCs w:val="32"/>
        </w:rPr>
      </w:pPr>
      <w:r>
        <w:rPr>
          <w:rFonts w:hint="eastAsia" w:eastAsia="楷体_GB2312"/>
          <w:color w:val="000000"/>
          <w:szCs w:val="32"/>
        </w:rPr>
        <w:t>30．探索建立健全市场化信用服务机制。按照省工作部署，</w:t>
      </w:r>
      <w:r>
        <w:rPr>
          <w:rFonts w:hint="eastAsia" w:ascii="仿宋_GB2312" w:hAnsi="仿宋_GB2312" w:cs="仿宋_GB2312"/>
          <w:color w:val="000000"/>
          <w:szCs w:val="32"/>
        </w:rPr>
        <w:t>引入符合条件的第三方信用服务机构参与信用协同监管,开展信用档案记录、信用数据分析、红黑名单认定、信用风险预警、失信跟踪监测等工作。</w:t>
      </w:r>
      <w:r>
        <w:rPr>
          <w:rFonts w:hint="eastAsia" w:ascii="黑体" w:hAnsi="黑体" w:eastAsia="黑体" w:cs="黑体"/>
          <w:color w:val="000000"/>
          <w:szCs w:val="32"/>
        </w:rPr>
        <w:t>（责任单位:市发展改革局、人民银行中山市中心支行）</w:t>
      </w:r>
    </w:p>
    <w:p>
      <w:pPr>
        <w:spacing w:line="600" w:lineRule="exact"/>
        <w:ind w:firstLine="664" w:firstLineChars="200"/>
        <w:rPr>
          <w:rFonts w:eastAsia="黑体"/>
          <w:color w:val="000000"/>
          <w:kern w:val="2"/>
          <w:szCs w:val="32"/>
        </w:rPr>
      </w:pPr>
      <w:r>
        <w:rPr>
          <w:rFonts w:hint="eastAsia" w:eastAsia="黑体"/>
          <w:color w:val="000000"/>
          <w:szCs w:val="32"/>
        </w:rPr>
        <w:t>八、支持企业信贷融资</w:t>
      </w:r>
    </w:p>
    <w:p>
      <w:pPr>
        <w:spacing w:line="600" w:lineRule="exact"/>
        <w:ind w:firstLine="664" w:firstLineChars="200"/>
        <w:rPr>
          <w:rFonts w:ascii="黑体" w:hAnsi="黑体" w:eastAsia="黑体" w:cs="黑体"/>
          <w:color w:val="000000"/>
          <w:kern w:val="2"/>
          <w:szCs w:val="32"/>
        </w:rPr>
      </w:pPr>
      <w:r>
        <w:rPr>
          <w:rFonts w:hint="eastAsia" w:eastAsia="楷体_GB2312"/>
          <w:color w:val="000000"/>
          <w:szCs w:val="32"/>
        </w:rPr>
        <w:t>31．搭建政银企融资服务平台。</w:t>
      </w:r>
      <w:r>
        <w:rPr>
          <w:rFonts w:hint="eastAsia"/>
          <w:color w:val="000000"/>
          <w:szCs w:val="32"/>
        </w:rPr>
        <w:t>依托“数字政府”数据资源和省部署建设的广东省中小企业融资智能服务平台，进一步化解融资和风险信息不对称问题，促进企业融资。</w:t>
      </w:r>
      <w:r>
        <w:rPr>
          <w:rFonts w:hint="eastAsia"/>
          <w:szCs w:val="32"/>
        </w:rPr>
        <w:t>做强科技信贷，优化科技信贷管理机制，探索精准式科技信贷服务，打通科技信贷和科技项目的通道，鼓励更多贷款支持企业科技研发和产业化。</w:t>
      </w:r>
      <w:r>
        <w:rPr>
          <w:rFonts w:hint="eastAsia" w:ascii="黑体" w:hAnsi="黑体" w:eastAsia="黑体" w:cs="黑体"/>
          <w:color w:val="000000"/>
          <w:szCs w:val="32"/>
        </w:rPr>
        <w:t>（责任单位：市金融局、市政务服务数据管理局、市发展改革局、市科技局)</w:t>
      </w:r>
    </w:p>
    <w:p>
      <w:pPr>
        <w:spacing w:line="600" w:lineRule="exact"/>
        <w:ind w:firstLine="664" w:firstLineChars="200"/>
        <w:rPr>
          <w:rFonts w:eastAsia="黑体"/>
          <w:color w:val="000000"/>
          <w:kern w:val="2"/>
          <w:szCs w:val="32"/>
        </w:rPr>
      </w:pPr>
      <w:r>
        <w:rPr>
          <w:rFonts w:hint="eastAsia" w:eastAsia="楷体_GB2312"/>
          <w:color w:val="000000"/>
          <w:szCs w:val="32"/>
        </w:rPr>
        <w:t>32．提升政府扶持政策精准度。</w:t>
      </w:r>
      <w:r>
        <w:rPr>
          <w:rFonts w:hint="eastAsia"/>
          <w:szCs w:val="32"/>
        </w:rPr>
        <w:t>统筹现有资源充分发挥企业融资扶持资金作用，鼓励银行机构支持小微企业融资。加大创业担保贷款贴息资金支持，充分发挥市创新创业基金政策引导作用，支持高校毕业生等群体创业创新。</w:t>
      </w:r>
      <w:r>
        <w:rPr>
          <w:rFonts w:hint="eastAsia"/>
          <w:color w:val="000000"/>
          <w:szCs w:val="32"/>
        </w:rPr>
        <w:t>(</w:t>
      </w:r>
      <w:r>
        <w:rPr>
          <w:rFonts w:hint="eastAsia" w:ascii="黑体" w:hAnsi="黑体" w:eastAsia="黑体" w:cs="黑体"/>
          <w:color w:val="000000"/>
          <w:szCs w:val="32"/>
        </w:rPr>
        <w:t>责任单位:市金融局、市财政局、市工业和信息化局、市人力资源社会保障局、市科技局、中山银保监分局、人民银行中山市中心支行</w:t>
      </w:r>
      <w:r>
        <w:rPr>
          <w:rFonts w:hint="eastAsia"/>
          <w:color w:val="000000"/>
          <w:szCs w:val="32"/>
        </w:rPr>
        <w:t>)</w:t>
      </w:r>
    </w:p>
    <w:p>
      <w:pPr>
        <w:spacing w:line="600" w:lineRule="exact"/>
        <w:ind w:firstLine="664" w:firstLineChars="200"/>
        <w:rPr>
          <w:rFonts w:eastAsia="黑体"/>
          <w:kern w:val="2"/>
          <w:szCs w:val="32"/>
        </w:rPr>
      </w:pPr>
      <w:r>
        <w:rPr>
          <w:rFonts w:hint="eastAsia" w:eastAsia="楷体_GB2312"/>
          <w:color w:val="000000"/>
          <w:szCs w:val="32"/>
        </w:rPr>
        <w:t>33．加强信用信息信贷应用。</w:t>
      </w:r>
      <w:r>
        <w:rPr>
          <w:rFonts w:hint="eastAsia" w:ascii="仿宋_GB2312" w:hAnsi="仿宋_GB2312" w:cs="仿宋_GB2312"/>
          <w:color w:val="000000"/>
          <w:szCs w:val="32"/>
        </w:rPr>
        <w:t>鼓励金融机构开发与客户信用状况和评级相结合的融资授信服务，合理提高信用贷款比重。深化“银税互动”合作，扩大参与“银税互动”商业银行的范围和数量，拓宽受惠企业覆盖面。引导支持市场化企业征信机构与金融机构开展合作，开发征信产品，帮助小微企业获得信贷。</w:t>
      </w:r>
      <w:r>
        <w:rPr>
          <w:rFonts w:hint="eastAsia" w:ascii="黑体" w:hAnsi="黑体" w:eastAsia="黑体" w:cs="黑体"/>
          <w:color w:val="000000"/>
          <w:szCs w:val="32"/>
        </w:rPr>
        <w:t>(责任单位:</w:t>
      </w:r>
      <w:r>
        <w:rPr>
          <w:rFonts w:hint="eastAsia" w:ascii="黑体" w:hAnsi="黑体" w:eastAsia="黑体" w:cs="黑体"/>
          <w:szCs w:val="32"/>
        </w:rPr>
        <w:t>中山银保监分局、市税务局、市金融局、市发展改革局、人民银行中山市中心支行)</w:t>
      </w:r>
    </w:p>
    <w:p>
      <w:pPr>
        <w:spacing w:line="600" w:lineRule="exact"/>
        <w:ind w:firstLine="664" w:firstLineChars="200"/>
        <w:rPr>
          <w:rFonts w:ascii="黑体" w:hAnsi="黑体" w:eastAsia="黑体" w:cs="黑体"/>
          <w:color w:val="000000"/>
          <w:kern w:val="2"/>
          <w:szCs w:val="32"/>
        </w:rPr>
      </w:pPr>
      <w:r>
        <w:rPr>
          <w:rFonts w:hint="eastAsia" w:eastAsia="楷体_GB2312"/>
          <w:color w:val="000000"/>
          <w:szCs w:val="32"/>
        </w:rPr>
        <w:t>34．</w:t>
      </w:r>
      <w:r>
        <w:rPr>
          <w:rFonts w:hint="eastAsia" w:ascii="楷体_GB2312" w:hAnsi="楷体_GB2312" w:eastAsia="楷体_GB2312" w:cs="楷体_GB2312"/>
          <w:color w:val="000000"/>
          <w:szCs w:val="32"/>
        </w:rPr>
        <w:t>加大小微企业信贷支持力度。</w:t>
      </w:r>
      <w:r>
        <w:rPr>
          <w:rFonts w:hint="eastAsia"/>
          <w:color w:val="000000"/>
          <w:szCs w:val="32"/>
        </w:rPr>
        <w:t>推动银行机构落实适度提高小微企业、科技创新等领域不良贷款容忍度的监管要求。支持银行机构发展小微企业金融服务专营机构。引导辖内法人银行机构总体实现单户授信总额1000万元及以下的小微企业贷款“两增两控”目标；对流动资金贷款到期后仍有融资需求的小微企业，提前开展贷款调查与评审，符合标准和条件的按程序办理续贷，缩短资金接续间隔。鼓励银行机构开展特许经营权、购买服务协议预期收益、收费权质押贷款等担保创新类贷款业务，大力发展知识产权质押融资，优化知识产权质押融资流程，开展履约保证保险等金融产品创新。</w:t>
      </w:r>
      <w:r>
        <w:rPr>
          <w:rFonts w:hint="eastAsia" w:ascii="黑体" w:hAnsi="黑体" w:eastAsia="黑体" w:cs="黑体"/>
          <w:color w:val="000000"/>
          <w:szCs w:val="32"/>
        </w:rPr>
        <w:t>(责任单位:中山银保监分局、人民银行中山市中心支行、市金融局)</w:t>
      </w:r>
    </w:p>
    <w:p>
      <w:pPr>
        <w:spacing w:line="600" w:lineRule="exact"/>
        <w:ind w:firstLine="664" w:firstLineChars="200"/>
        <w:rPr>
          <w:rFonts w:ascii="黑体" w:hAnsi="黑体" w:eastAsia="黑体" w:cs="黑体"/>
          <w:color w:val="000000"/>
          <w:szCs w:val="32"/>
        </w:rPr>
      </w:pPr>
      <w:r>
        <w:rPr>
          <w:rFonts w:hint="eastAsia" w:eastAsia="楷体_GB2312"/>
          <w:color w:val="000000"/>
          <w:szCs w:val="32"/>
        </w:rPr>
        <w:t>35．</w:t>
      </w:r>
      <w:r>
        <w:rPr>
          <w:rFonts w:hint="eastAsia"/>
          <w:color w:val="000000"/>
          <w:szCs w:val="32"/>
        </w:rPr>
        <w:t>降低信贷融资成本。督促引导银行机构综合运用年审制贷款、循环贷款、分期偿还本金等方式减轻企业负担；清理和取消各类违规手续费，严格限制向小微企业收取财务顾问费、咨询费等费用，减少融资过程中的附加费用。鼓励开发性、政策性银行以批发资金转贷形式与其他银行机构合作，降低小微企业贷款成本。</w:t>
      </w:r>
      <w:r>
        <w:rPr>
          <w:rFonts w:hint="eastAsia" w:ascii="黑体" w:hAnsi="黑体" w:eastAsia="黑体" w:cs="黑体"/>
          <w:color w:val="000000"/>
          <w:szCs w:val="32"/>
        </w:rPr>
        <w:t>(责任单位:中山银保监分局、人民银行中山市中心支行、市金融局)</w:t>
      </w:r>
    </w:p>
    <w:p>
      <w:pPr>
        <w:spacing w:line="600" w:lineRule="exact"/>
        <w:ind w:firstLine="664" w:firstLineChars="200"/>
        <w:rPr>
          <w:rFonts w:ascii="黑体" w:hAnsi="黑体" w:eastAsia="黑体" w:cs="黑体"/>
          <w:color w:val="000000"/>
          <w:szCs w:val="32"/>
        </w:rPr>
      </w:pPr>
      <w:r>
        <w:rPr>
          <w:rFonts w:hint="eastAsia" w:ascii="黑体" w:hAnsi="黑体" w:eastAsia="黑体" w:cs="黑体"/>
          <w:color w:val="000000"/>
          <w:szCs w:val="32"/>
        </w:rPr>
        <w:t>九、加快数字政府建设和政务服务与监管方式改革</w:t>
      </w:r>
    </w:p>
    <w:p>
      <w:pPr>
        <w:spacing w:line="600" w:lineRule="exact"/>
        <w:ind w:firstLine="664" w:firstLineChars="200"/>
        <w:rPr>
          <w:rFonts w:ascii="黑体" w:hAnsi="黑体" w:eastAsia="黑体" w:cs="黑体"/>
          <w:color w:val="000000"/>
          <w:szCs w:val="32"/>
        </w:rPr>
      </w:pPr>
      <w:r>
        <w:rPr>
          <w:rFonts w:hint="eastAsia" w:eastAsia="楷体_GB2312"/>
          <w:color w:val="000000"/>
          <w:szCs w:val="32"/>
        </w:rPr>
        <w:t>36．完善省政务信息资源共享平台应用。</w:t>
      </w:r>
      <w:r>
        <w:rPr>
          <w:rFonts w:hint="eastAsia" w:ascii="仿宋_GB2312" w:hAnsi="仿宋_GB2312" w:cs="仿宋_GB2312"/>
          <w:color w:val="000000"/>
          <w:szCs w:val="32"/>
        </w:rPr>
        <w:t>完善政务信息资源共享目录和数据共享交换标准规范,提升全市政务信息资源共享体系一体化水平。完成市级政务信息资源共享平台与省级共享平台对接联通。</w:t>
      </w:r>
      <w:r>
        <w:rPr>
          <w:rFonts w:hint="eastAsia" w:ascii="黑体" w:hAnsi="黑体" w:eastAsia="黑体" w:cs="黑体"/>
          <w:color w:val="000000"/>
          <w:szCs w:val="32"/>
        </w:rPr>
        <w:t>(责任单位:市政务服务数据管理局、市直各部门)</w:t>
      </w:r>
    </w:p>
    <w:p>
      <w:pPr>
        <w:spacing w:line="600" w:lineRule="exact"/>
        <w:ind w:firstLine="664" w:firstLineChars="200"/>
        <w:rPr>
          <w:rFonts w:ascii="黑体" w:hAnsi="黑体" w:eastAsia="黑体" w:cs="黑体"/>
          <w:color w:val="000000"/>
          <w:szCs w:val="32"/>
        </w:rPr>
      </w:pPr>
      <w:r>
        <w:rPr>
          <w:rFonts w:hint="eastAsia" w:eastAsia="楷体_GB2312"/>
          <w:color w:val="000000"/>
          <w:szCs w:val="32"/>
        </w:rPr>
        <w:t>37．推进电子证照服务应用。</w:t>
      </w:r>
      <w:r>
        <w:rPr>
          <w:rFonts w:hint="eastAsia" w:ascii="仿宋_GB2312" w:hAnsi="仿宋_GB2312" w:cs="仿宋_GB2312"/>
          <w:color w:val="000000"/>
          <w:szCs w:val="32"/>
        </w:rPr>
        <w:t>建设完善市集约化电子证照系统,年内力争实现省、市两级系统对接联通。推进电子证照目录注册发布，在政务服务事项受理、审批等环节全面开展电子证照应用，切实解决企业和群众办事重复提交材料多、证明多等问题。</w:t>
      </w:r>
      <w:r>
        <w:rPr>
          <w:rFonts w:hint="eastAsia" w:ascii="黑体" w:hAnsi="黑体" w:eastAsia="黑体" w:cs="黑体"/>
          <w:color w:val="000000"/>
          <w:szCs w:val="32"/>
        </w:rPr>
        <w:t>(责任单位：市政务服务数据管理局、市直各部门)</w:t>
      </w:r>
    </w:p>
    <w:p>
      <w:pPr>
        <w:spacing w:line="600" w:lineRule="exact"/>
        <w:ind w:firstLine="664" w:firstLineChars="200"/>
        <w:rPr>
          <w:rFonts w:ascii="黑体" w:hAnsi="黑体" w:eastAsia="黑体" w:cs="黑体"/>
          <w:color w:val="000000"/>
          <w:szCs w:val="32"/>
        </w:rPr>
      </w:pPr>
      <w:r>
        <w:rPr>
          <w:rFonts w:hint="eastAsia" w:eastAsia="楷体_GB2312"/>
          <w:color w:val="000000"/>
          <w:szCs w:val="32"/>
        </w:rPr>
        <w:t>38．进一步推进简政放权。</w:t>
      </w:r>
      <w:r>
        <w:rPr>
          <w:rFonts w:hint="eastAsia" w:ascii="仿宋_GB2312" w:hAnsi="仿宋_GB2312" w:cs="仿宋_GB2312"/>
          <w:color w:val="000000"/>
          <w:szCs w:val="32"/>
        </w:rPr>
        <w:t>按照国家和省部署继续推进简政放权改革，更好厘清市镇间权责关系。持续开展减证便民，按照省的工作部署推进“百项疏堵行动”。</w:t>
      </w:r>
      <w:r>
        <w:rPr>
          <w:rFonts w:hint="eastAsia" w:ascii="黑体" w:hAnsi="黑体" w:eastAsia="黑体" w:cs="黑体"/>
          <w:color w:val="000000"/>
          <w:szCs w:val="32"/>
        </w:rPr>
        <w:t>(责任单位：市政务服务数据管理局、市司法局)</w:t>
      </w:r>
    </w:p>
    <w:p>
      <w:pPr>
        <w:spacing w:line="600" w:lineRule="exact"/>
        <w:ind w:firstLine="664" w:firstLineChars="200"/>
        <w:rPr>
          <w:rFonts w:ascii="黑体" w:hAnsi="黑体" w:eastAsia="黑体" w:cs="黑体"/>
          <w:color w:val="000000"/>
          <w:szCs w:val="32"/>
        </w:rPr>
      </w:pPr>
      <w:r>
        <w:rPr>
          <w:rFonts w:hint="eastAsia" w:eastAsia="楷体_GB2312"/>
          <w:color w:val="000000"/>
          <w:szCs w:val="32"/>
        </w:rPr>
        <w:t>39．完善涉企政策“一站式”信息发布功能。</w:t>
      </w:r>
      <w:r>
        <w:rPr>
          <w:rFonts w:hint="eastAsia" w:ascii="仿宋_GB2312" w:hAnsi="仿宋_GB2312" w:cs="仿宋_GB2312"/>
          <w:color w:val="000000"/>
          <w:szCs w:val="32"/>
        </w:rPr>
        <w:t>及时将涉企政策“一站式”信息纳入中山市惠企政策导航系统进行发布管理，实现涉企政策信息汇集加工推送、咨询反馈、资源数据互联互通等功能，为企业提供“一站式”政策贴身服务。</w:t>
      </w:r>
      <w:r>
        <w:rPr>
          <w:rFonts w:hint="eastAsia" w:ascii="黑体" w:hAnsi="黑体" w:eastAsia="黑体" w:cs="黑体"/>
          <w:color w:val="000000"/>
          <w:szCs w:val="32"/>
        </w:rPr>
        <w:t>(责任单位:市政务服务数据管理局)</w:t>
      </w:r>
    </w:p>
    <w:p>
      <w:pPr>
        <w:spacing w:line="600" w:lineRule="exact"/>
        <w:ind w:firstLine="664" w:firstLineChars="200"/>
        <w:rPr>
          <w:rFonts w:ascii="黑体" w:hAnsi="黑体" w:eastAsia="黑体" w:cs="黑体"/>
          <w:color w:val="000000"/>
          <w:szCs w:val="32"/>
        </w:rPr>
      </w:pPr>
      <w:r>
        <w:rPr>
          <w:rFonts w:hint="eastAsia" w:eastAsia="楷体_GB2312"/>
          <w:color w:val="000000"/>
          <w:szCs w:val="32"/>
        </w:rPr>
        <w:t>40．推进政务服务标准化便利化。</w:t>
      </w:r>
      <w:r>
        <w:rPr>
          <w:rFonts w:hint="eastAsia" w:ascii="仿宋_GB2312" w:hAnsi="仿宋_GB2312" w:cs="仿宋_GB2312"/>
          <w:szCs w:val="32"/>
        </w:rPr>
        <w:t>继续推进政务服务事项“五办”改革，实现“五办”事项对行政权力和公共服务事项的全覆盖</w:t>
      </w:r>
      <w:r>
        <w:rPr>
          <w:rFonts w:hint="eastAsia" w:ascii="仿宋_GB2312" w:hAnsi="仿宋_GB2312" w:cs="仿宋_GB2312"/>
          <w:color w:val="000000"/>
          <w:szCs w:val="32"/>
        </w:rPr>
        <w:t>。</w:t>
      </w:r>
      <w:r>
        <w:rPr>
          <w:rFonts w:hint="eastAsia" w:ascii="仿宋_GB2312" w:hAnsi="仿宋_GB2312" w:cs="仿宋_GB2312"/>
          <w:szCs w:val="32"/>
        </w:rPr>
        <w:t>推进投资项目高效审批，建立健全投资项目清单管理制、限时办结制、“容缺”预受理制、专窗办理制四项基本制度，推进投资项目全程代办社会化改革。</w:t>
      </w:r>
      <w:r>
        <w:rPr>
          <w:rFonts w:hint="eastAsia" w:ascii="仿宋_GB2312" w:hAnsi="仿宋_GB2312" w:cs="仿宋_GB2312"/>
          <w:color w:val="000000"/>
          <w:szCs w:val="32"/>
        </w:rPr>
        <w:t>编制标准统一的行政权力事项目录清单和公共服务事项清单。深入推进政务服务标准化，公布中山市“全城通办”政务服务事项目录并动态更新。优化在线政务服务平台建设，统一事项办理标准，推进市级百项高频事项“最多跑一次”。完善政务服务咨询投诉机制，建立政务服务满意度调查机制并纳入绩效考核。</w:t>
      </w:r>
      <w:r>
        <w:rPr>
          <w:rFonts w:hint="eastAsia" w:ascii="黑体" w:hAnsi="黑体" w:eastAsia="黑体" w:cs="黑体"/>
          <w:color w:val="000000"/>
          <w:szCs w:val="32"/>
        </w:rPr>
        <w:t>(责任单位：市政务服务数据管理局)</w:t>
      </w:r>
    </w:p>
    <w:p>
      <w:pPr>
        <w:spacing w:line="600" w:lineRule="exact"/>
        <w:ind w:firstLine="664" w:firstLineChars="200"/>
        <w:rPr>
          <w:rFonts w:ascii="仿宋_GB2312" w:hAnsi="仿宋_GB2312" w:cs="仿宋_GB2312"/>
          <w:color w:val="000000"/>
          <w:szCs w:val="32"/>
        </w:rPr>
      </w:pPr>
      <w:r>
        <w:rPr>
          <w:rFonts w:hint="eastAsia" w:eastAsia="楷体_GB2312"/>
          <w:color w:val="000000"/>
          <w:szCs w:val="32"/>
        </w:rPr>
        <w:t>41．推动事中事后监管转型。</w:t>
      </w:r>
      <w:r>
        <w:rPr>
          <w:rFonts w:hint="eastAsia" w:ascii="仿宋_GB2312" w:hAnsi="仿宋_GB2312" w:cs="仿宋_GB2312"/>
          <w:color w:val="000000"/>
          <w:szCs w:val="32"/>
        </w:rPr>
        <w:t>依托全省统一的市场监管信息平台,实现市场监管各部门、涉企行政审批部门、行业主管部门之间的信息实时传递、无障碍交换、统一归集公示。全面深化推进“双随机、一公开”监管制度，建立完善大数据监管、分类分级综合监管、风险监管、“告知承诺+事中事后监管”等新型监管机制。</w:t>
      </w:r>
      <w:r>
        <w:rPr>
          <w:rFonts w:hint="eastAsia" w:ascii="黑体" w:hAnsi="黑体" w:eastAsia="黑体" w:cs="黑体"/>
          <w:color w:val="000000"/>
          <w:szCs w:val="32"/>
        </w:rPr>
        <w:t>(责任单位:市市场监管局、市政务服务数据管理局、市直各有关部门)</w:t>
      </w:r>
    </w:p>
    <w:p>
      <w:pPr>
        <w:spacing w:line="600" w:lineRule="exact"/>
        <w:ind w:firstLine="664" w:firstLineChars="200"/>
        <w:rPr>
          <w:rFonts w:eastAsia="黑体"/>
          <w:color w:val="000000"/>
          <w:kern w:val="2"/>
          <w:szCs w:val="32"/>
        </w:rPr>
      </w:pPr>
      <w:r>
        <w:rPr>
          <w:rFonts w:hint="eastAsia" w:eastAsia="黑体"/>
          <w:color w:val="000000"/>
          <w:szCs w:val="32"/>
        </w:rPr>
        <w:t>十、加强产权保护和营商法治化建设</w:t>
      </w:r>
    </w:p>
    <w:p>
      <w:pPr>
        <w:spacing w:line="600" w:lineRule="exact"/>
        <w:ind w:firstLine="664" w:firstLineChars="200"/>
        <w:rPr>
          <w:rFonts w:eastAsia="黑体"/>
          <w:color w:val="000000"/>
          <w:kern w:val="2"/>
          <w:szCs w:val="32"/>
        </w:rPr>
      </w:pPr>
      <w:r>
        <w:rPr>
          <w:rFonts w:hint="eastAsia" w:eastAsia="楷体_GB2312"/>
          <w:color w:val="000000"/>
          <w:szCs w:val="32"/>
        </w:rPr>
        <w:t>42．全面实施市场准入负面清单制度。</w:t>
      </w:r>
      <w:r>
        <w:rPr>
          <w:rFonts w:hint="eastAsia"/>
          <w:color w:val="000000"/>
          <w:szCs w:val="32"/>
        </w:rPr>
        <w:t>全面实施市场准入负面清单制度，负面清单以外的行业、领域、业务等各类市场主体皆可依法平等进入。</w:t>
      </w:r>
      <w:r>
        <w:rPr>
          <w:rFonts w:hint="eastAsia" w:eastAsia="黑体"/>
          <w:color w:val="000000"/>
          <w:szCs w:val="32"/>
        </w:rPr>
        <w:t>（责任单位：市发展改革局、市商务局）</w:t>
      </w:r>
    </w:p>
    <w:p>
      <w:pPr>
        <w:spacing w:line="600" w:lineRule="exact"/>
        <w:ind w:firstLine="664" w:firstLineChars="200"/>
        <w:rPr>
          <w:rFonts w:eastAsia="黑体"/>
          <w:color w:val="000000"/>
          <w:szCs w:val="32"/>
        </w:rPr>
      </w:pPr>
      <w:r>
        <w:rPr>
          <w:rFonts w:hint="eastAsia" w:eastAsia="楷体_GB2312"/>
          <w:color w:val="000000"/>
          <w:szCs w:val="32"/>
        </w:rPr>
        <w:t>43．深化公平竞争审查制度建设。</w:t>
      </w:r>
      <w:r>
        <w:rPr>
          <w:rFonts w:hint="eastAsia"/>
          <w:color w:val="000000"/>
          <w:szCs w:val="32"/>
        </w:rPr>
        <w:t>推行公平竞争审查制度，清理和废止国有企业、民营企业、外资企业在资质资格获取、招标投标、权益保护等方面差别化政策。</w:t>
      </w:r>
      <w:r>
        <w:rPr>
          <w:rFonts w:hint="eastAsia" w:ascii="黑体" w:hAnsi="黑体" w:eastAsia="黑体" w:cs="黑体"/>
          <w:color w:val="000000"/>
          <w:szCs w:val="32"/>
        </w:rPr>
        <w:t>（责任单位：市市场监管局、市人大常委会法工委）</w:t>
      </w:r>
    </w:p>
    <w:p>
      <w:pPr>
        <w:spacing w:line="600" w:lineRule="exact"/>
        <w:ind w:firstLine="664" w:firstLineChars="200"/>
        <w:rPr>
          <w:rFonts w:eastAsia="黑体"/>
          <w:color w:val="000000"/>
          <w:kern w:val="2"/>
          <w:szCs w:val="32"/>
        </w:rPr>
      </w:pPr>
      <w:r>
        <w:rPr>
          <w:rFonts w:hint="eastAsia" w:eastAsia="楷体_GB2312"/>
          <w:color w:val="000000"/>
          <w:szCs w:val="32"/>
        </w:rPr>
        <w:t>44．破除招投标隐性壁垒。</w:t>
      </w:r>
      <w:r>
        <w:rPr>
          <w:rFonts w:hint="eastAsia"/>
          <w:color w:val="000000"/>
          <w:szCs w:val="32"/>
        </w:rPr>
        <w:t>按照国家和省部署组织开展招投标领域专项整治，消除在招投标过程中对不同所有制企业设置的各类不合理限制和壁垒。赋予社会投资的房屋建筑工程建设单位发包自主权，建立与工程施工有所区别的建筑设计招投标制度。</w:t>
      </w:r>
      <w:r>
        <w:rPr>
          <w:rFonts w:hint="eastAsia" w:eastAsia="黑体"/>
          <w:color w:val="000000"/>
          <w:szCs w:val="32"/>
        </w:rPr>
        <w:t>（责任单位：市发展改革局、市住房城乡建设局）</w:t>
      </w:r>
    </w:p>
    <w:p>
      <w:pPr>
        <w:spacing w:line="600" w:lineRule="exact"/>
        <w:ind w:firstLine="664" w:firstLineChars="200"/>
        <w:rPr>
          <w:color w:val="000000"/>
          <w:szCs w:val="32"/>
        </w:rPr>
      </w:pPr>
      <w:r>
        <w:rPr>
          <w:rFonts w:hint="eastAsia" w:eastAsia="楷体_GB2312"/>
          <w:color w:val="000000"/>
          <w:szCs w:val="32"/>
        </w:rPr>
        <w:t>45．加强知识产权保护综合服务。</w:t>
      </w:r>
      <w:r>
        <w:rPr>
          <w:rFonts w:hint="eastAsia"/>
          <w:color w:val="000000"/>
          <w:szCs w:val="32"/>
        </w:rPr>
        <w:t>争取国家和省支持，扩大知识产权快速维权机制服务范围。面向知识产权快速维权中心相关产业提供专利申请快速预审服务，完善专利申请快速预审机制。</w:t>
      </w:r>
      <w:r>
        <w:rPr>
          <w:rFonts w:hint="eastAsia" w:ascii="黑体" w:hAnsi="黑体" w:eastAsia="黑体" w:cs="黑体"/>
          <w:color w:val="000000"/>
          <w:szCs w:val="32"/>
        </w:rPr>
        <w:t>(责任单位:市市场监管局)</w:t>
      </w:r>
    </w:p>
    <w:p>
      <w:pPr>
        <w:spacing w:line="600" w:lineRule="exact"/>
        <w:ind w:firstLine="664" w:firstLineChars="200"/>
        <w:rPr>
          <w:rFonts w:ascii="黑体" w:hAnsi="黑体" w:eastAsia="黑体" w:cs="黑体"/>
          <w:color w:val="000000"/>
          <w:szCs w:val="32"/>
        </w:rPr>
      </w:pPr>
      <w:r>
        <w:rPr>
          <w:rFonts w:hint="eastAsia" w:eastAsia="楷体_GB2312"/>
          <w:color w:val="000000"/>
          <w:szCs w:val="32"/>
        </w:rPr>
        <w:t>46．提高知识产权侵权赔偿标准。</w:t>
      </w:r>
      <w:r>
        <w:rPr>
          <w:rFonts w:hint="eastAsia"/>
          <w:color w:val="000000"/>
          <w:szCs w:val="32"/>
        </w:rPr>
        <w:t>参考合理研发费用、假定许可费计算以及同期商品服务的市场销量、价格、利润等，确立与市场价值相适应的侵权损害赔偿标准。对权利人主张的科学合理的侵害赔偿数额计算方式，可以高于法定赔偿的最高限额依法予以支持。对权利人合法合理的维权费用，由败诉方承担并在确定的侵权赔偿产权以外，单独予以全额支持。</w:t>
      </w:r>
      <w:r>
        <w:rPr>
          <w:rFonts w:hint="eastAsia" w:ascii="黑体" w:hAnsi="黑体" w:eastAsia="黑体" w:cs="黑体"/>
          <w:color w:val="000000"/>
          <w:szCs w:val="32"/>
        </w:rPr>
        <w:t>(责任单位：市中级人民法院)</w:t>
      </w:r>
    </w:p>
    <w:p>
      <w:pPr>
        <w:spacing w:line="600" w:lineRule="exact"/>
        <w:ind w:firstLine="664" w:firstLineChars="200"/>
        <w:rPr>
          <w:color w:val="000000"/>
          <w:szCs w:val="32"/>
        </w:rPr>
      </w:pPr>
      <w:r>
        <w:rPr>
          <w:rFonts w:hint="eastAsia" w:eastAsia="楷体_GB2312"/>
          <w:color w:val="000000"/>
          <w:szCs w:val="32"/>
        </w:rPr>
        <w:t>47.健全营商纠纷多元化解机制。</w:t>
      </w:r>
      <w:r>
        <w:rPr>
          <w:rFonts w:hint="eastAsia"/>
          <w:color w:val="000000"/>
          <w:szCs w:val="32"/>
        </w:rPr>
        <w:t>完善诉讼与仲裁、调解、公证有机衔接机制，加大仲裁、调解、公证法律文书执行力度，鼓励和引导当事人选择非诉讼途径经济、快捷解决纠纷。加强同港澳地区司法交流合作，推动建立共商共建共享的多元化纠纷解决机制，推动建设国际法律及商事争议解决服务中心。</w:t>
      </w:r>
      <w:r>
        <w:rPr>
          <w:rFonts w:hint="eastAsia" w:ascii="黑体" w:hAnsi="黑体" w:eastAsia="黑体" w:cs="黑体"/>
          <w:color w:val="000000"/>
          <w:szCs w:val="32"/>
        </w:rPr>
        <w:t>(责任单位：市司法局、市中级人民法院)</w:t>
      </w:r>
    </w:p>
    <w:p>
      <w:pPr>
        <w:spacing w:line="600" w:lineRule="exact"/>
        <w:ind w:firstLine="664" w:firstLineChars="200"/>
        <w:rPr>
          <w:rFonts w:ascii="黑体" w:hAnsi="黑体" w:eastAsia="黑体" w:cs="黑体"/>
          <w:color w:val="000000"/>
          <w:kern w:val="2"/>
          <w:szCs w:val="32"/>
        </w:rPr>
      </w:pPr>
      <w:r>
        <w:rPr>
          <w:rFonts w:hint="eastAsia" w:eastAsia="楷体_GB2312"/>
          <w:color w:val="000000"/>
          <w:szCs w:val="32"/>
        </w:rPr>
        <w:t>48．加强中小投资者权利保护。</w:t>
      </w:r>
      <w:r>
        <w:rPr>
          <w:rFonts w:hint="eastAsia"/>
          <w:color w:val="000000"/>
          <w:szCs w:val="32"/>
        </w:rPr>
        <w:t>依法处理公司决议效力、股东知情权、利润分配权、优先购买权和股东代表诉讼等纠纷案件，推动公司治理结构完善。依法加大股东权利保护力度，加强对中小股东依法享有的表决权、知情权、利润分配请求权、监督权等权利的司法保护。依法实施股东派生诉讼制度，依法追究董事、监事、高管等履职怠惰、违法交易及控股股东滥用权利民事责任，更好维护公司和中小股东的合法利益。</w:t>
      </w:r>
      <w:r>
        <w:rPr>
          <w:rFonts w:hint="eastAsia" w:ascii="黑体" w:hAnsi="黑体" w:eastAsia="黑体" w:cs="黑体"/>
          <w:color w:val="000000"/>
          <w:szCs w:val="32"/>
        </w:rPr>
        <w:t>(责任单位：市中级人民法院)</w:t>
      </w:r>
    </w:p>
    <w:p>
      <w:pPr>
        <w:spacing w:line="600" w:lineRule="exact"/>
        <w:ind w:firstLine="664" w:firstLineChars="200"/>
        <w:rPr>
          <w:rFonts w:ascii="黑体" w:hAnsi="黑体" w:eastAsia="黑体" w:cs="黑体"/>
          <w:color w:val="000000"/>
          <w:szCs w:val="32"/>
        </w:rPr>
      </w:pPr>
      <w:r>
        <w:rPr>
          <w:rFonts w:hint="eastAsia" w:eastAsia="楷体_GB2312"/>
          <w:color w:val="000000"/>
          <w:szCs w:val="32"/>
        </w:rPr>
        <w:t>49．完善破产机制建设。</w:t>
      </w:r>
      <w:r>
        <w:rPr>
          <w:rFonts w:hint="eastAsia"/>
          <w:color w:val="000000"/>
          <w:szCs w:val="32"/>
        </w:rPr>
        <w:t>完善破产程序启动机制和破产重整企业识别机制，建立破产预重整制度，建立“府院联动”协调机制。试行破产审判集中管辖。实行破产案件繁简分流，推进“繁案精审、简案快审”，促进简易案件快速审结。完善破产管理人制度，推动成立破产管理人协会。降低进入法院破产管理、评估、拍卖等名册资质门槛，加强破产参与机构选定透明度，降低破产管理费、拍卖费、评估费等破产费用占破产财产的比例。</w:t>
      </w:r>
      <w:r>
        <w:rPr>
          <w:rFonts w:hint="eastAsia" w:ascii="黑体" w:hAnsi="黑体" w:eastAsia="黑体" w:cs="黑体"/>
          <w:color w:val="000000"/>
          <w:szCs w:val="32"/>
        </w:rPr>
        <w:t>(责任单位：市中级人民法院，市直有关部门)</w:t>
      </w:r>
    </w:p>
    <w:p>
      <w:pPr>
        <w:spacing w:line="600" w:lineRule="exact"/>
        <w:ind w:firstLine="664" w:firstLineChars="200"/>
      </w:pPr>
      <w:r>
        <w:rPr>
          <w:rFonts w:hint="eastAsia" w:ascii="仿宋_GB2312" w:hAnsi="仿宋_GB2312" w:cs="仿宋_GB2312"/>
          <w:color w:val="000000"/>
          <w:szCs w:val="32"/>
        </w:rPr>
        <w:t>各部门</w:t>
      </w:r>
      <w:r>
        <w:rPr>
          <w:rFonts w:hint="eastAsia"/>
          <w:color w:val="000000"/>
          <w:szCs w:val="32"/>
        </w:rPr>
        <w:t>要充分认识深化营商环境改革的重要性、紧迫性，切实加强组织领导，把优化营商环境摆在突出位置抓实抓好。各项任务的责任单位要进一步细化落实措施，明确责任人、实施步骤、实施时间和实施要求，确保各项任务如期完成、取得实效。要加强对改革典型经验做法的总结宣传和复制推广，做好政策宣传解读，对市场主体关注的重点难点及时研究解决，回应社会关切，营造良好改革氛围。</w:t>
      </w:r>
    </w:p>
    <w:p>
      <w:pPr>
        <w:spacing w:line="600" w:lineRule="exact"/>
      </w:pPr>
    </w:p>
    <w:sectPr>
      <w:footerReference r:id="rId3" w:type="default"/>
      <w:footerReference r:id="rId4" w:type="even"/>
      <w:pgSz w:w="11906" w:h="16838"/>
      <w:pgMar w:top="2098" w:right="1588" w:bottom="1985" w:left="1588" w:header="851" w:footer="992" w:gutter="0"/>
      <w:pgNumType w:fmt="numberInDash" w:start="3"/>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9079"/>
    </w:sdtPr>
    <w:sdtEndPr>
      <w:rPr>
        <w:rFonts w:asciiTheme="majorEastAsia" w:hAnsiTheme="majorEastAsia" w:eastAsiaTheme="majorEastAsia"/>
        <w:sz w:val="28"/>
        <w:szCs w:val="28"/>
      </w:rPr>
    </w:sdtEndPr>
    <w:sdtContent>
      <w:p>
        <w:pPr>
          <w:pStyle w:val="4"/>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5 -</w:t>
        </w:r>
        <w:r>
          <w:rPr>
            <w:rFonts w:asciiTheme="majorEastAsia" w:hAnsiTheme="majorEastAsia" w:eastAsiaTheme="maj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EastAsia" w:hAnsiTheme="majorEastAsia" w:eastAsiaTheme="majorEastAsia"/>
        <w:sz w:val="28"/>
        <w:szCs w:val="28"/>
      </w:rPr>
      <w:id w:val="1489081"/>
    </w:sdtPr>
    <w:sdtEndPr>
      <w:rPr>
        <w:rFonts w:asciiTheme="majorEastAsia" w:hAnsiTheme="majorEastAsia" w:eastAsiaTheme="majorEastAsia"/>
        <w:sz w:val="28"/>
        <w:szCs w:val="28"/>
      </w:rPr>
    </w:sdtEndPr>
    <w:sdtContent>
      <w:p>
        <w:pPr>
          <w:pStyle w:val="4"/>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6 -</w:t>
        </w:r>
        <w:r>
          <w:rPr>
            <w:rFonts w:asciiTheme="majorEastAsia" w:hAnsiTheme="majorEastAsia" w:eastAsiaTheme="maj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trackRevisions w:val="1"/>
  <w:documentProtection w:enforcement="0"/>
  <w:defaultTabStop w:val="420"/>
  <w:evenAndOddHeaders w:val="1"/>
  <w:drawingGridHorizontalSpacing w:val="166"/>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F28A1"/>
    <w:rsid w:val="000533B3"/>
    <w:rsid w:val="00183DED"/>
    <w:rsid w:val="002950FD"/>
    <w:rsid w:val="002F6EA7"/>
    <w:rsid w:val="003C25E1"/>
    <w:rsid w:val="00426FBE"/>
    <w:rsid w:val="004C3B10"/>
    <w:rsid w:val="00BF28A1"/>
    <w:rsid w:val="00F22148"/>
    <w:rsid w:val="024510B3"/>
    <w:rsid w:val="05876044"/>
    <w:rsid w:val="0AB33203"/>
    <w:rsid w:val="0DCB3D99"/>
    <w:rsid w:val="16036F7D"/>
    <w:rsid w:val="19DF60C3"/>
    <w:rsid w:val="1BA01A82"/>
    <w:rsid w:val="1FDB5B6A"/>
    <w:rsid w:val="1FDE6E5D"/>
    <w:rsid w:val="21611B0F"/>
    <w:rsid w:val="226B4CD7"/>
    <w:rsid w:val="24AE5524"/>
    <w:rsid w:val="28CC0FFC"/>
    <w:rsid w:val="2DA85610"/>
    <w:rsid w:val="2E402C57"/>
    <w:rsid w:val="2F7B4E46"/>
    <w:rsid w:val="315109A2"/>
    <w:rsid w:val="3249695B"/>
    <w:rsid w:val="36E20F47"/>
    <w:rsid w:val="37395740"/>
    <w:rsid w:val="37AC5E17"/>
    <w:rsid w:val="3C2512D2"/>
    <w:rsid w:val="3EE16994"/>
    <w:rsid w:val="42A6301E"/>
    <w:rsid w:val="466652EA"/>
    <w:rsid w:val="4B7006E2"/>
    <w:rsid w:val="55A820C9"/>
    <w:rsid w:val="5CCE11CF"/>
    <w:rsid w:val="5E85625B"/>
    <w:rsid w:val="5F81532C"/>
    <w:rsid w:val="5FD174CC"/>
    <w:rsid w:val="6013683C"/>
    <w:rsid w:val="641F1CE3"/>
    <w:rsid w:val="6DED35B5"/>
    <w:rsid w:val="717E30CA"/>
    <w:rsid w:val="720512C0"/>
    <w:rsid w:val="729A43D5"/>
    <w:rsid w:val="769E2F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autoSpaceDE w:val="0"/>
      <w:autoSpaceDN w:val="0"/>
      <w:adjustRightInd w:val="0"/>
      <w:snapToGrid w:val="0"/>
      <w:spacing w:line="336" w:lineRule="auto"/>
      <w:jc w:val="both"/>
    </w:pPr>
    <w:rPr>
      <w:rFonts w:ascii="Times New Roman" w:hAnsi="Times New Roman" w:eastAsia="仿宋_GB2312" w:cs="Times New Roman"/>
      <w:snapToGrid w:val="0"/>
      <w:spacing w:val="6"/>
      <w:kern w:val="32"/>
      <w:sz w:val="32"/>
      <w:szCs w:val="24"/>
      <w:lang w:val="en-US" w:eastAsia="zh-CN" w:bidi="ar-SA"/>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pPr>
      <w:spacing w:line="240" w:lineRule="auto"/>
    </w:pPr>
    <w:rPr>
      <w:sz w:val="18"/>
      <w:szCs w:val="18"/>
    </w:rPr>
  </w:style>
  <w:style w:type="paragraph" w:styleId="4">
    <w:name w:val="footer"/>
    <w:basedOn w:val="1"/>
    <w:link w:val="10"/>
    <w:qFormat/>
    <w:uiPriority w:val="99"/>
    <w:pPr>
      <w:tabs>
        <w:tab w:val="center" w:pos="4153"/>
        <w:tab w:val="right" w:pos="8306"/>
      </w:tabs>
      <w:jc w:val="left"/>
    </w:pPr>
    <w:rPr>
      <w:sz w:val="18"/>
    </w:rPr>
  </w:style>
  <w:style w:type="paragraph" w:styleId="5">
    <w:name w:val="header"/>
    <w:basedOn w:val="1"/>
    <w:link w:val="8"/>
    <w:qFormat/>
    <w:uiPriority w:val="0"/>
    <w:pPr>
      <w:pBdr>
        <w:bottom w:val="single" w:color="auto" w:sz="6" w:space="1"/>
      </w:pBdr>
      <w:tabs>
        <w:tab w:val="center" w:pos="4153"/>
        <w:tab w:val="right" w:pos="8306"/>
      </w:tabs>
      <w:spacing w:line="240" w:lineRule="auto"/>
      <w:jc w:val="center"/>
    </w:pPr>
    <w:rPr>
      <w:sz w:val="18"/>
      <w:szCs w:val="18"/>
    </w:rPr>
  </w:style>
  <w:style w:type="character" w:customStyle="1" w:styleId="8">
    <w:name w:val="页眉 Char"/>
    <w:basedOn w:val="7"/>
    <w:link w:val="5"/>
    <w:qFormat/>
    <w:uiPriority w:val="0"/>
    <w:rPr>
      <w:rFonts w:eastAsia="仿宋_GB2312"/>
      <w:snapToGrid w:val="0"/>
      <w:spacing w:val="6"/>
      <w:kern w:val="32"/>
      <w:sz w:val="18"/>
      <w:szCs w:val="18"/>
    </w:rPr>
  </w:style>
  <w:style w:type="character" w:customStyle="1" w:styleId="9">
    <w:name w:val="批注框文本 Char"/>
    <w:basedOn w:val="7"/>
    <w:link w:val="3"/>
    <w:qFormat/>
    <w:uiPriority w:val="0"/>
    <w:rPr>
      <w:rFonts w:eastAsia="仿宋_GB2312"/>
      <w:snapToGrid w:val="0"/>
      <w:spacing w:val="6"/>
      <w:kern w:val="32"/>
      <w:sz w:val="18"/>
      <w:szCs w:val="18"/>
    </w:rPr>
  </w:style>
  <w:style w:type="character" w:customStyle="1" w:styleId="10">
    <w:name w:val="页脚 Char"/>
    <w:basedOn w:val="7"/>
    <w:link w:val="4"/>
    <w:qFormat/>
    <w:uiPriority w:val="99"/>
    <w:rPr>
      <w:rFonts w:eastAsia="仿宋_GB2312"/>
      <w:snapToGrid w:val="0"/>
      <w:spacing w:val="6"/>
      <w:kern w:val="3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zsfg</Company>
  <Pages>18</Pages>
  <Words>8617</Words>
  <Characters>144</Characters>
  <Lines>1</Lines>
  <Paragraphs>17</Paragraphs>
  <TotalTime>9</TotalTime>
  <ScaleCrop>false</ScaleCrop>
  <LinksUpToDate>false</LinksUpToDate>
  <CharactersWithSpaces>8744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苏颖诗</cp:lastModifiedBy>
  <cp:lastPrinted>2019-07-29T03:22:00Z</cp:lastPrinted>
  <dcterms:modified xsi:type="dcterms:W3CDTF">2024-08-23T09:20:54Z</dcterms:modified>
  <dc:title>中山市进一步深化营商环境综合改革</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