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313" w:afterLines="100" w:line="276" w:lineRule="auto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关于公布实施《中山市板芙镇顺景工业园南片区（2005单元）05街区BF23-C-06地块控制性详细规划局部调整（2024）》成果的公告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-2147483648" w:afterLines="-2147483648"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《中山市板芙镇顺景工业园南片区（2005单元）05街区BF23-C-06地块控制性详细规划局部调整（2024）》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已于202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日经中山市人民政府批准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，批复文号为中府函〔2024〕199</w:t>
      </w:r>
      <w:bookmarkStart w:id="0" w:name="_GoBack"/>
      <w:bookmarkEnd w:id="0"/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号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。根据《中华人民共和国城乡规划法》《广东省城乡规划条例》等相关法律、法规要求予以批后公布。有关规划成果信息可在市自然资源局网站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http://www.zs.gov.cn/zrzyj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和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板芙镇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人民政府网站（http://www.zs.gov.cn/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bf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z）查询</w:t>
      </w:r>
      <w:r>
        <w:rPr>
          <w:rFonts w:hint="eastAsia" w:eastAsia="仿宋_GB2312"/>
          <w:snapToGrid w:val="0"/>
          <w:kern w:val="0"/>
          <w:sz w:val="32"/>
          <w:szCs w:val="32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77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left="1918" w:leftChars="304" w:right="0" w:rightChars="0" w:hanging="1280" w:hangingChars="4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中山市板芙镇顺景工业园南片区（2005单元）05街区BF23-C-06地块控制性详细规划局部调整（2024）批后公告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1920" w:hanging="1920" w:hangingChars="6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       2.中山市人民政府关于中山市板芙镇顺景工业园南片区（2005单元）05街区BF23-C-06地块控制性详细规划局部调整（2024）成果的批复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840" w:rightChars="4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中山市自然资源局</w:t>
      </w:r>
    </w:p>
    <w:p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7FB4"/>
    <w:rsid w:val="13DC7FB4"/>
    <w:rsid w:val="4FD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2024-08-02T02:55:00Z</dcterms:created>
  <dc:creator>高芷岚</dc:creator>
  <cp:lastModifiedBy>高芷岚</cp:lastModifiedBy>
  <dcterms:modified xsi:type="dcterms:W3CDTF">2024-08-02T02:58:03Z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73A2DA7D37184E569D93FFA8E588B09B</vt:lpwstr>
  </property>
</Properties>
</file>