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pacing w:before="0" w:after="120" w:line="360" w:lineRule="auto"/>
        <w:jc w:val="center"/>
        <w:rPr>
          <w:rFonts w:hint="eastAsia" w:ascii="创艺简标宋" w:hAnsi="创艺简标宋" w:eastAsia="创艺简标宋" w:cs="创艺简标宋"/>
          <w:b w:val="0"/>
          <w:bCs w:val="0"/>
          <w:color w:val="auto"/>
          <w:kern w:val="0"/>
          <w:sz w:val="44"/>
          <w:szCs w:val="44"/>
          <w:highlight w:val="none"/>
          <w:lang w:eastAsia="zh-CN"/>
        </w:rPr>
      </w:pPr>
      <w:bookmarkStart w:id="0" w:name="_Toc8382"/>
      <w:bookmarkStart w:id="1" w:name="_Toc9958"/>
      <w:r>
        <w:rPr>
          <w:rFonts w:hint="eastAsia" w:ascii="创艺简标宋" w:hAnsi="创艺简标宋" w:eastAsia="创艺简标宋" w:cs="创艺简标宋"/>
          <w:b w:val="0"/>
          <w:bCs w:val="0"/>
          <w:color w:val="auto"/>
          <w:kern w:val="0"/>
          <w:sz w:val="44"/>
          <w:szCs w:val="44"/>
          <w:highlight w:val="none"/>
          <w:lang w:eastAsia="zh-CN"/>
        </w:rPr>
        <w:fldChar w:fldCharType="begin"/>
      </w:r>
      <w:r>
        <w:rPr>
          <w:rFonts w:hint="eastAsia" w:ascii="创艺简标宋" w:hAnsi="创艺简标宋" w:eastAsia="创艺简标宋" w:cs="创艺简标宋"/>
          <w:b w:val="0"/>
          <w:bCs w:val="0"/>
          <w:color w:val="auto"/>
          <w:kern w:val="0"/>
          <w:sz w:val="44"/>
          <w:szCs w:val="44"/>
          <w:highlight w:val="none"/>
          <w:lang w:eastAsia="zh-CN"/>
        </w:rPr>
        <w:instrText xml:space="preserve"> HYPERLINK "https://www.zsjypt.cn/artical/160/235648" \t "https://www.zsjypt.cn/subItem/_blank" </w:instrText>
      </w:r>
      <w:r>
        <w:rPr>
          <w:rFonts w:hint="eastAsia" w:ascii="创艺简标宋" w:hAnsi="创艺简标宋" w:eastAsia="创艺简标宋" w:cs="创艺简标宋"/>
          <w:b w:val="0"/>
          <w:bCs w:val="0"/>
          <w:color w:val="auto"/>
          <w:kern w:val="0"/>
          <w:sz w:val="44"/>
          <w:szCs w:val="44"/>
          <w:highlight w:val="none"/>
          <w:lang w:eastAsia="zh-CN"/>
        </w:rPr>
        <w:fldChar w:fldCharType="separate"/>
      </w:r>
      <w:r>
        <w:rPr>
          <w:rFonts w:hint="eastAsia" w:ascii="创艺简标宋" w:hAnsi="创艺简标宋" w:eastAsia="创艺简标宋" w:cs="创艺简标宋"/>
          <w:b w:val="0"/>
          <w:bCs w:val="0"/>
          <w:color w:val="auto"/>
          <w:kern w:val="0"/>
          <w:sz w:val="44"/>
          <w:szCs w:val="44"/>
          <w:highlight w:val="none"/>
          <w:lang w:eastAsia="zh-CN"/>
        </w:rPr>
        <w:t>神湾镇社区矫正、安置帮教、社区戒毒及</w:t>
      </w:r>
    </w:p>
    <w:p>
      <w:pPr>
        <w:pStyle w:val="4"/>
        <w:adjustRightInd w:val="0"/>
        <w:spacing w:before="0" w:after="120" w:line="360" w:lineRule="auto"/>
        <w:jc w:val="center"/>
        <w:rPr>
          <w:rFonts w:hint="eastAsia" w:ascii="创艺简标宋" w:hAnsi="创艺简标宋" w:eastAsia="创艺简标宋" w:cs="创艺简标宋"/>
          <w:b w:val="0"/>
          <w:bCs w:val="0"/>
          <w:color w:val="auto"/>
          <w:kern w:val="0"/>
          <w:sz w:val="44"/>
          <w:szCs w:val="44"/>
          <w:highlight w:val="none"/>
        </w:rPr>
      </w:pPr>
      <w:r>
        <w:rPr>
          <w:rFonts w:hint="eastAsia" w:ascii="创艺简标宋" w:hAnsi="创艺简标宋" w:eastAsia="创艺简标宋" w:cs="创艺简标宋"/>
          <w:b w:val="0"/>
          <w:bCs w:val="0"/>
          <w:color w:val="auto"/>
          <w:kern w:val="0"/>
          <w:sz w:val="44"/>
          <w:szCs w:val="44"/>
          <w:highlight w:val="none"/>
          <w:lang w:eastAsia="zh-CN"/>
        </w:rPr>
        <w:t>社区康复社工服务项目</w:t>
      </w:r>
      <w:r>
        <w:rPr>
          <w:rFonts w:hint="eastAsia" w:ascii="创艺简标宋" w:hAnsi="创艺简标宋" w:eastAsia="创艺简标宋" w:cs="创艺简标宋"/>
          <w:b w:val="0"/>
          <w:bCs w:val="0"/>
          <w:color w:val="auto"/>
          <w:kern w:val="0"/>
          <w:sz w:val="44"/>
          <w:szCs w:val="44"/>
          <w:highlight w:val="none"/>
          <w:lang w:eastAsia="zh-CN"/>
        </w:rPr>
        <w:fldChar w:fldCharType="end"/>
      </w:r>
      <w:bookmarkStart w:id="5" w:name="_GoBack"/>
      <w:bookmarkEnd w:id="5"/>
      <w:r>
        <w:rPr>
          <w:rFonts w:hint="eastAsia" w:ascii="创艺简标宋" w:hAnsi="创艺简标宋" w:eastAsia="创艺简标宋" w:cs="创艺简标宋"/>
          <w:b w:val="0"/>
          <w:bCs w:val="0"/>
          <w:color w:val="auto"/>
          <w:kern w:val="0"/>
          <w:sz w:val="44"/>
          <w:szCs w:val="44"/>
          <w:highlight w:val="none"/>
          <w:lang w:eastAsia="zh-CN"/>
        </w:rPr>
        <w:t>采购</w:t>
      </w:r>
      <w:r>
        <w:rPr>
          <w:rFonts w:hint="eastAsia" w:ascii="创艺简标宋" w:hAnsi="创艺简标宋" w:eastAsia="创艺简标宋" w:cs="创艺简标宋"/>
          <w:b w:val="0"/>
          <w:bCs w:val="0"/>
          <w:color w:val="auto"/>
          <w:kern w:val="0"/>
          <w:sz w:val="44"/>
          <w:szCs w:val="44"/>
          <w:highlight w:val="none"/>
        </w:rPr>
        <w:t>需求书</w:t>
      </w:r>
      <w:bookmarkEnd w:id="0"/>
      <w:bookmarkEnd w:id="1"/>
      <w:bookmarkStart w:id="2" w:name="_Toc23927923"/>
    </w:p>
    <w:p>
      <w:pPr>
        <w:rPr>
          <w:rFonts w:hint="eastAsia"/>
        </w:rPr>
      </w:pPr>
    </w:p>
    <w:p>
      <w:pPr>
        <w:pStyle w:val="5"/>
        <w:pageBreakBefore w:val="0"/>
        <w:widowControl w:val="0"/>
        <w:kinsoku/>
        <w:wordWrap/>
        <w:overflowPunct/>
        <w:topLinePunct w:val="0"/>
        <w:bidi w:val="0"/>
        <w:spacing w:before="0" w:line="360" w:lineRule="auto"/>
        <w:ind w:left="0" w:leftChars="0" w:firstLine="0" w:firstLineChars="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楷体_GB2312" w:hAnsi="楷体_GB2312" w:eastAsia="楷体_GB2312" w:cs="楷体_GB2312"/>
          <w:bCs w:val="0"/>
          <w:color w:val="auto"/>
          <w:sz w:val="32"/>
          <w:szCs w:val="32"/>
          <w:highlight w:val="none"/>
          <w:lang w:val="en-US" w:eastAsia="zh-CN"/>
        </w:rPr>
        <w:t>一、总则</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sz w:val="30"/>
          <w:szCs w:val="30"/>
          <w:highlight w:val="none"/>
          <w:lang w:eastAsia="zh-CN"/>
        </w:rPr>
      </w:pPr>
      <w:r>
        <w:rPr>
          <w:rFonts w:hint="eastAsia" w:ascii="仿宋_GB2312" w:hAnsi="仿宋_GB2312" w:eastAsia="仿宋_GB2312" w:cs="仿宋_GB2312"/>
          <w:color w:val="000000"/>
          <w:sz w:val="30"/>
          <w:szCs w:val="30"/>
          <w:highlight w:val="none"/>
          <w:lang w:eastAsia="zh-CN"/>
        </w:rPr>
        <w:t>（一）采购的项目及范围为：</w:t>
      </w:r>
      <w:r>
        <w:rPr>
          <w:rFonts w:hint="eastAsia" w:ascii="仿宋_GB2312" w:hAnsi="仿宋_GB2312" w:eastAsia="仿宋_GB2312" w:cs="仿宋_GB2312"/>
          <w:color w:val="000000"/>
          <w:sz w:val="30"/>
          <w:szCs w:val="30"/>
          <w:highlight w:val="none"/>
          <w:lang w:val="en-US" w:eastAsia="zh-CN"/>
        </w:rPr>
        <w:t>神湾镇社区矫正、安置帮教、社区戒毒、社区康复、反邪教警示教育、反邪教宣传、未成年人等普法宣传社工服务项目</w:t>
      </w:r>
      <w:r>
        <w:rPr>
          <w:rFonts w:hint="eastAsia" w:ascii="仿宋_GB2312" w:hAnsi="仿宋_GB2312" w:eastAsia="仿宋_GB2312" w:cs="仿宋_GB2312"/>
          <w:color w:val="000000"/>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highlight w:val="none"/>
          <w:lang w:eastAsia="zh-CN"/>
        </w:rPr>
        <w:t>（二）</w:t>
      </w:r>
      <w:r>
        <w:rPr>
          <w:rFonts w:hint="eastAsia" w:ascii="仿宋_GB2312" w:hAnsi="仿宋_GB2312" w:eastAsia="仿宋_GB2312" w:cs="仿宋_GB2312"/>
          <w:color w:val="000000"/>
          <w:sz w:val="30"/>
          <w:szCs w:val="30"/>
          <w:highlight w:val="none"/>
          <w:lang w:val="en-US" w:eastAsia="zh-CN"/>
        </w:rPr>
        <w:t>由于成交供应商原因导致服务指标任务未完成或被评估为不合格的，成交供应商应进行整改，两次整改仍不到位的，采购人有权取消其成交资格及终止合同。</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highlight w:val="none"/>
          <w:lang w:val="en-US" w:eastAsia="zh-CN"/>
        </w:rPr>
        <w:t>（三）供应商须对本项目要求的全部内容进行整体报价，不允许只对其中一部分内容进行报价。本项目响应报价应包括：社工薪酬待遇、社会保险、督导费用、培训费用、服务活动经费、办公经费、项目管理经费、税费等磋商文件要求的所有费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lang w:val="en-US" w:eastAsia="zh-CN"/>
        </w:rPr>
        <w:t>（四）</w:t>
      </w:r>
      <w:r>
        <w:rPr>
          <w:rFonts w:hint="eastAsia" w:ascii="仿宋_GB2312" w:hAnsi="仿宋_GB2312" w:eastAsia="仿宋_GB2312" w:cs="仿宋_GB2312"/>
          <w:color w:val="000000"/>
          <w:sz w:val="30"/>
          <w:szCs w:val="30"/>
          <w:highlight w:val="none"/>
        </w:rPr>
        <w:t>配备的人员需在服务项目</w:t>
      </w:r>
      <w:r>
        <w:rPr>
          <w:rFonts w:hint="eastAsia" w:ascii="仿宋_GB2312" w:hAnsi="仿宋_GB2312" w:eastAsia="仿宋_GB2312" w:cs="仿宋_GB2312"/>
          <w:color w:val="000000"/>
          <w:sz w:val="30"/>
          <w:szCs w:val="30"/>
          <w:highlight w:val="none"/>
          <w:lang w:eastAsia="zh-CN"/>
        </w:rPr>
        <w:t>成交</w:t>
      </w:r>
      <w:r>
        <w:rPr>
          <w:rFonts w:hint="eastAsia" w:ascii="仿宋_GB2312" w:hAnsi="仿宋_GB2312" w:eastAsia="仿宋_GB2312" w:cs="仿宋_GB2312"/>
          <w:color w:val="000000"/>
          <w:sz w:val="30"/>
          <w:szCs w:val="30"/>
          <w:highlight w:val="none"/>
        </w:rPr>
        <w:t>后签署服务</w:t>
      </w:r>
      <w:r>
        <w:rPr>
          <w:rFonts w:hint="eastAsia" w:ascii="仿宋_GB2312" w:hAnsi="仿宋_GB2312" w:eastAsia="仿宋_GB2312" w:cs="仿宋_GB2312"/>
          <w:color w:val="auto"/>
          <w:sz w:val="30"/>
          <w:szCs w:val="30"/>
          <w:highlight w:val="none"/>
        </w:rPr>
        <w:t>协议一个月内，全</w:t>
      </w:r>
      <w:r>
        <w:rPr>
          <w:rFonts w:hint="eastAsia" w:ascii="仿宋_GB2312" w:hAnsi="仿宋_GB2312" w:eastAsia="仿宋_GB2312" w:cs="仿宋_GB2312"/>
          <w:color w:val="000000"/>
          <w:sz w:val="30"/>
          <w:szCs w:val="30"/>
          <w:highlight w:val="none"/>
        </w:rPr>
        <w:t>部到岗到位。</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lang w:val="en-US" w:eastAsia="zh-CN"/>
        </w:rPr>
        <w:t>（五）</w:t>
      </w:r>
      <w:r>
        <w:rPr>
          <w:rFonts w:hint="eastAsia" w:ascii="仿宋_GB2312" w:hAnsi="仿宋_GB2312" w:eastAsia="仿宋_GB2312" w:cs="仿宋_GB2312"/>
          <w:color w:val="000000"/>
          <w:sz w:val="30"/>
          <w:szCs w:val="30"/>
          <w:highlight w:val="none"/>
        </w:rPr>
        <w:t>本项目由</w:t>
      </w:r>
      <w:r>
        <w:rPr>
          <w:rFonts w:hint="eastAsia" w:ascii="仿宋_GB2312" w:hAnsi="仿宋_GB2312" w:eastAsia="仿宋_GB2312" w:cs="仿宋_GB2312"/>
          <w:color w:val="000000"/>
          <w:sz w:val="30"/>
          <w:szCs w:val="30"/>
          <w:highlight w:val="none"/>
          <w:lang w:eastAsia="zh-CN"/>
        </w:rPr>
        <w:t>成交供应商</w:t>
      </w:r>
      <w:r>
        <w:rPr>
          <w:rFonts w:hint="eastAsia" w:ascii="仿宋_GB2312" w:hAnsi="仿宋_GB2312" w:eastAsia="仿宋_GB2312" w:cs="仿宋_GB2312"/>
          <w:color w:val="000000"/>
          <w:sz w:val="30"/>
          <w:szCs w:val="30"/>
          <w:highlight w:val="none"/>
        </w:rPr>
        <w:t>承包及负责</w:t>
      </w:r>
      <w:r>
        <w:rPr>
          <w:rFonts w:hint="eastAsia" w:ascii="仿宋_GB2312" w:hAnsi="仿宋_GB2312" w:eastAsia="仿宋_GB2312" w:cs="仿宋_GB2312"/>
          <w:color w:val="000000"/>
          <w:sz w:val="30"/>
          <w:szCs w:val="30"/>
          <w:highlight w:val="none"/>
          <w:lang w:eastAsia="zh-CN"/>
        </w:rPr>
        <w:t>磋商文件</w:t>
      </w:r>
      <w:r>
        <w:rPr>
          <w:rFonts w:hint="eastAsia" w:ascii="仿宋_GB2312" w:hAnsi="仿宋_GB2312" w:eastAsia="仿宋_GB2312" w:cs="仿宋_GB2312"/>
          <w:color w:val="000000"/>
          <w:sz w:val="30"/>
          <w:szCs w:val="30"/>
          <w:highlight w:val="none"/>
        </w:rPr>
        <w:t>对</w:t>
      </w:r>
      <w:r>
        <w:rPr>
          <w:rFonts w:hint="eastAsia" w:ascii="仿宋_GB2312" w:hAnsi="仿宋_GB2312" w:eastAsia="仿宋_GB2312" w:cs="仿宋_GB2312"/>
          <w:color w:val="000000"/>
          <w:sz w:val="30"/>
          <w:szCs w:val="30"/>
          <w:highlight w:val="none"/>
          <w:lang w:eastAsia="zh-CN"/>
        </w:rPr>
        <w:t>成交供应商</w:t>
      </w:r>
      <w:r>
        <w:rPr>
          <w:rFonts w:hint="eastAsia" w:ascii="仿宋_GB2312" w:hAnsi="仿宋_GB2312" w:eastAsia="仿宋_GB2312" w:cs="仿宋_GB2312"/>
          <w:color w:val="000000"/>
          <w:sz w:val="30"/>
          <w:szCs w:val="30"/>
          <w:highlight w:val="none"/>
        </w:rPr>
        <w:t>要求的一切事宜及责任。</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lang w:val="en-US" w:eastAsia="zh-CN"/>
        </w:rPr>
        <w:t>（六）</w:t>
      </w:r>
      <w:r>
        <w:rPr>
          <w:rFonts w:hint="eastAsia" w:ascii="仿宋_GB2312" w:hAnsi="仿宋_GB2312" w:eastAsia="仿宋_GB2312" w:cs="仿宋_GB2312"/>
          <w:color w:val="000000"/>
          <w:sz w:val="30"/>
          <w:szCs w:val="30"/>
          <w:highlight w:val="none"/>
          <w:lang w:eastAsia="zh-CN"/>
        </w:rPr>
        <w:t>成交供应商</w:t>
      </w:r>
      <w:r>
        <w:rPr>
          <w:rFonts w:hint="eastAsia" w:ascii="仿宋_GB2312" w:hAnsi="仿宋_GB2312" w:eastAsia="仿宋_GB2312" w:cs="仿宋_GB2312"/>
          <w:color w:val="000000"/>
          <w:sz w:val="30"/>
          <w:szCs w:val="30"/>
          <w:highlight w:val="none"/>
        </w:rPr>
        <w:t>须根据采购人每月定制的时数与天数进行工作安排，采购人有权对每月定制的时数与天数进行修改或调整。</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lang w:val="en-US" w:eastAsia="zh-CN"/>
        </w:rPr>
        <w:t>（七）</w:t>
      </w:r>
      <w:r>
        <w:rPr>
          <w:rFonts w:hint="eastAsia" w:ascii="仿宋_GB2312" w:hAnsi="仿宋_GB2312" w:eastAsia="仿宋_GB2312" w:cs="仿宋_GB2312"/>
          <w:color w:val="000000"/>
          <w:sz w:val="30"/>
          <w:szCs w:val="30"/>
          <w:highlight w:val="none"/>
          <w:lang w:eastAsia="zh-CN"/>
        </w:rPr>
        <w:t>成交供应商</w:t>
      </w:r>
      <w:r>
        <w:rPr>
          <w:rFonts w:hint="eastAsia" w:ascii="仿宋_GB2312" w:hAnsi="仿宋_GB2312" w:eastAsia="仿宋_GB2312" w:cs="仿宋_GB2312"/>
          <w:color w:val="000000"/>
          <w:sz w:val="30"/>
          <w:szCs w:val="30"/>
          <w:highlight w:val="none"/>
        </w:rPr>
        <w:t>未经采购人批准，不得再以任何方式转包或分包。</w:t>
      </w:r>
    </w:p>
    <w:p>
      <w:pPr>
        <w:keepNext w:val="0"/>
        <w:keepLines w:val="0"/>
        <w:pageBreakBefore w:val="0"/>
        <w:widowControl w:val="0"/>
        <w:numPr>
          <w:ilvl w:val="0"/>
          <w:numId w:val="0"/>
        </w:numPr>
        <w:tabs>
          <w:tab w:val="left" w:pos="424"/>
        </w:tabs>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lang w:val="en-US" w:eastAsia="zh-CN"/>
        </w:rPr>
        <w:t>（八）</w:t>
      </w:r>
      <w:r>
        <w:rPr>
          <w:rFonts w:hint="eastAsia" w:ascii="仿宋_GB2312" w:hAnsi="仿宋_GB2312" w:eastAsia="仿宋_GB2312" w:cs="仿宋_GB2312"/>
          <w:color w:val="000000"/>
          <w:sz w:val="30"/>
          <w:szCs w:val="30"/>
          <w:highlight w:val="none"/>
        </w:rPr>
        <w:t>本项目不接受联合体</w:t>
      </w:r>
      <w:r>
        <w:rPr>
          <w:rFonts w:hint="eastAsia" w:ascii="仿宋_GB2312" w:hAnsi="仿宋_GB2312" w:eastAsia="仿宋_GB2312" w:cs="仿宋_GB2312"/>
          <w:color w:val="000000"/>
          <w:sz w:val="30"/>
          <w:szCs w:val="30"/>
          <w:highlight w:val="none"/>
          <w:lang w:val="en-US" w:eastAsia="zh-CN"/>
        </w:rPr>
        <w:t>磋商</w:t>
      </w:r>
      <w:r>
        <w:rPr>
          <w:rFonts w:hint="eastAsia" w:ascii="仿宋_GB2312" w:hAnsi="仿宋_GB2312" w:eastAsia="仿宋_GB2312" w:cs="仿宋_GB2312"/>
          <w:color w:val="000000"/>
          <w:sz w:val="30"/>
          <w:szCs w:val="30"/>
          <w:highlight w:val="none"/>
        </w:rPr>
        <w:t>。</w:t>
      </w:r>
    </w:p>
    <w:p>
      <w:pPr>
        <w:pageBreakBefore w:val="0"/>
        <w:widowControl w:val="0"/>
        <w:numPr>
          <w:ilvl w:val="0"/>
          <w:numId w:val="0"/>
        </w:numPr>
        <w:tabs>
          <w:tab w:val="left" w:pos="424"/>
        </w:tabs>
        <w:kinsoku/>
        <w:wordWrap/>
        <w:overflowPunct/>
        <w:topLinePunct w:val="0"/>
        <w:bidi w:val="0"/>
        <w:spacing w:line="360" w:lineRule="auto"/>
        <w:ind w:leftChars="0" w:firstLine="420" w:firstLineChars="200"/>
        <w:textAlignment w:val="auto"/>
        <w:rPr>
          <w:rFonts w:hint="eastAsia" w:ascii="宋体" w:hAnsi="宋体" w:eastAsia="宋体" w:cs="宋体"/>
          <w:color w:val="000000"/>
          <w:sz w:val="21"/>
          <w:szCs w:val="21"/>
          <w:highlight w:val="none"/>
          <w:lang w:val="en-US" w:eastAsia="zh-CN"/>
        </w:rPr>
      </w:pPr>
    </w:p>
    <w:p>
      <w:pPr>
        <w:pageBreakBefore w:val="0"/>
        <w:widowControl w:val="0"/>
        <w:numPr>
          <w:ilvl w:val="0"/>
          <w:numId w:val="0"/>
        </w:numPr>
        <w:tabs>
          <w:tab w:val="left" w:pos="567"/>
        </w:tabs>
        <w:kinsoku/>
        <w:wordWrap/>
        <w:overflowPunct/>
        <w:topLinePunct w:val="0"/>
        <w:bidi w:val="0"/>
        <w:spacing w:line="360" w:lineRule="auto"/>
        <w:textAlignment w:val="auto"/>
        <w:rPr>
          <w:rFonts w:hint="eastAsia" w:ascii="黑体" w:hAnsi="黑体" w:eastAsia="黑体" w:cs="黑体"/>
          <w:b w:val="0"/>
          <w:bCs w:val="0"/>
          <w:color w:val="000000"/>
          <w:kern w:val="2"/>
          <w:sz w:val="32"/>
          <w:szCs w:val="32"/>
          <w:highlight w:val="none"/>
          <w:lang w:eastAsia="zh-CN"/>
        </w:rPr>
      </w:pPr>
      <w:r>
        <w:rPr>
          <w:rFonts w:hint="eastAsia" w:ascii="黑体" w:hAnsi="黑体" w:eastAsia="黑体" w:cs="黑体"/>
          <w:b w:val="0"/>
          <w:bCs w:val="0"/>
          <w:color w:val="000000"/>
          <w:kern w:val="2"/>
          <w:sz w:val="32"/>
          <w:szCs w:val="32"/>
          <w:highlight w:val="none"/>
          <w:lang w:eastAsia="zh-CN"/>
        </w:rPr>
        <w:t>二、</w:t>
      </w:r>
      <w:r>
        <w:rPr>
          <w:rFonts w:hint="eastAsia" w:ascii="黑体" w:hAnsi="黑体" w:eastAsia="黑体" w:cs="黑体"/>
          <w:b w:val="0"/>
          <w:bCs w:val="0"/>
          <w:color w:val="000000"/>
          <w:kern w:val="2"/>
          <w:sz w:val="32"/>
          <w:szCs w:val="32"/>
          <w:highlight w:val="none"/>
        </w:rPr>
        <w:t>项目</w:t>
      </w:r>
      <w:r>
        <w:rPr>
          <w:rFonts w:hint="eastAsia" w:ascii="黑体" w:hAnsi="黑体" w:eastAsia="黑体" w:cs="黑体"/>
          <w:b w:val="0"/>
          <w:bCs w:val="0"/>
          <w:color w:val="000000"/>
          <w:kern w:val="2"/>
          <w:sz w:val="32"/>
          <w:szCs w:val="32"/>
          <w:highlight w:val="none"/>
          <w:lang w:eastAsia="zh-CN"/>
        </w:rPr>
        <w:t>概况</w:t>
      </w:r>
    </w:p>
    <w:p>
      <w:pPr>
        <w:pStyle w:val="8"/>
        <w:pageBreakBefore w:val="0"/>
        <w:widowControl w:val="0"/>
        <w:kinsoku/>
        <w:wordWrap/>
        <w:overflowPunct/>
        <w:topLinePunct w:val="0"/>
        <w:bidi w:val="0"/>
        <w:spacing w:before="0" w:line="360" w:lineRule="auto"/>
        <w:ind w:firstLine="600" w:firstLineChars="200"/>
        <w:textAlignment w:val="auto"/>
        <w:rPr>
          <w:rFonts w:hint="eastAsia"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rPr>
        <w:t>自2008年《中华人民共和国禁毒法》颁布以来，戒毒社区康复服务迅速发展。2017年国家禁毒办等12个部门颁布的《关于加强禁毒社会工作者队伍建设的意见》，明确了禁毒社会工作是坚持“助人自助”</w:t>
      </w:r>
      <w:r>
        <w:rPr>
          <w:rFonts w:hint="eastAsia" w:ascii="Times New Roman" w:hAnsi="Times New Roman" w:eastAsia="仿宋_GB2312" w:cs="仿宋_GB2312"/>
          <w:sz w:val="30"/>
          <w:szCs w:val="30"/>
          <w:highlight w:val="none"/>
          <w:lang w:eastAsia="zh-CN"/>
        </w:rPr>
        <w:t>的</w:t>
      </w:r>
      <w:r>
        <w:rPr>
          <w:rFonts w:hint="eastAsia" w:ascii="Times New Roman" w:hAnsi="Times New Roman" w:eastAsia="仿宋_GB2312" w:cs="仿宋_GB2312"/>
          <w:sz w:val="30"/>
          <w:szCs w:val="30"/>
          <w:highlight w:val="none"/>
        </w:rPr>
        <w:t>价值理念，遵循专业伦理规范，运用社会工作专业知识、方法和技能预防和减轻毒品</w:t>
      </w:r>
      <w:r>
        <w:rPr>
          <w:rFonts w:hint="eastAsia" w:ascii="Times New Roman" w:hAnsi="Times New Roman" w:eastAsia="仿宋_GB2312" w:cs="仿宋_GB2312"/>
          <w:sz w:val="30"/>
          <w:szCs w:val="30"/>
          <w:highlight w:val="none"/>
          <w:lang w:eastAsia="zh-CN"/>
        </w:rPr>
        <w:t>的</w:t>
      </w:r>
      <w:r>
        <w:rPr>
          <w:rFonts w:hint="eastAsia" w:ascii="Times New Roman" w:hAnsi="Times New Roman" w:eastAsia="仿宋_GB2312" w:cs="仿宋_GB2312"/>
          <w:sz w:val="30"/>
          <w:szCs w:val="30"/>
          <w:highlight w:val="none"/>
        </w:rPr>
        <w:t>危害，促进吸毒人员社会康复，保护公民身心健康的专门化社会服务活动。</w:t>
      </w:r>
      <w:r>
        <w:rPr>
          <w:rFonts w:hint="eastAsia" w:ascii="Times New Roman" w:hAnsi="Times New Roman" w:eastAsia="仿宋_GB2312" w:cs="仿宋_GB2312"/>
          <w:sz w:val="30"/>
          <w:szCs w:val="30"/>
          <w:highlight w:val="none"/>
          <w:lang w:val="en-US" w:eastAsia="zh-CN"/>
        </w:rPr>
        <w:t>神湾镇社区矫正、安置帮教、社区戒毒及社区康复社工服务项目</w:t>
      </w:r>
      <w:r>
        <w:rPr>
          <w:rFonts w:hint="eastAsia" w:ascii="Times New Roman" w:hAnsi="Times New Roman" w:eastAsia="仿宋_GB2312" w:cs="仿宋_GB2312"/>
          <w:sz w:val="30"/>
          <w:szCs w:val="30"/>
          <w:highlight w:val="none"/>
        </w:rPr>
        <w:t>以第三方购买服务形式引入专业社工机构，旨在通过政府、社会与家庭的合力对戒毒康复人员进行全面照管，重点在预防宣教、戒毒康复的层面上给予社康社戒人员系统性的支持与帮扶，从而帮助吸毒人员戒除毒瘾，重新回归社会和家庭。</w:t>
      </w:r>
    </w:p>
    <w:p>
      <w:pPr>
        <w:pStyle w:val="8"/>
        <w:pageBreakBefore w:val="0"/>
        <w:widowControl w:val="0"/>
        <w:kinsoku/>
        <w:wordWrap/>
        <w:overflowPunct/>
        <w:topLinePunct w:val="0"/>
        <w:bidi w:val="0"/>
        <w:spacing w:before="0" w:line="360" w:lineRule="auto"/>
        <w:ind w:firstLine="600" w:firstLineChars="200"/>
        <w:textAlignment w:val="auto"/>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lang w:val="en-US" w:eastAsia="zh-CN"/>
        </w:rPr>
        <w:t>神湾镇社区矫正、安置帮教、社区戒毒及社区康复社工服务项目旨在通过专职、专业的禁毒社会工作者，采用社会工作的理念、方法和技巧，为吸毒戒毒人员提供戒毒康复、帮扶救助、禁毒宣传教育等服务，核查吸毒人员的现时情况、建档跟进，深入个人、家庭、社区三个层面进行接触帮扶，结合心理咨询方法、家庭治疗方法和链接医学帮助，建立集生理脱毒、心理康复、就业帮扶、回归社会于一体的戒毒康复模式，积极帮助吸毒人员戒除毒瘾、恢复健康、回归并融入社会，最大限度减少毒品社会危害，更好地促进平安、法治神湾的建设。</w:t>
      </w:r>
    </w:p>
    <w:p>
      <w:pPr>
        <w:ind w:firstLine="600" w:firstLineChars="200"/>
        <w:jc w:val="left"/>
        <w:rPr>
          <w:rFonts w:hint="eastAsia" w:eastAsia="仿宋_GB2312" w:cs="仿宋_GB2312"/>
          <w:snapToGrid w:val="0"/>
          <w:color w:val="000000"/>
          <w:kern w:val="0"/>
          <w:sz w:val="30"/>
          <w:szCs w:val="30"/>
          <w:highlight w:val="none"/>
          <w:lang w:val="en-US" w:eastAsia="zh-CN"/>
        </w:rPr>
      </w:pPr>
      <w:r>
        <w:rPr>
          <w:rFonts w:hint="eastAsia" w:eastAsia="仿宋_GB2312" w:cs="仿宋_GB2312"/>
          <w:snapToGrid w:val="0"/>
          <w:color w:val="000000"/>
          <w:kern w:val="0"/>
          <w:sz w:val="30"/>
          <w:szCs w:val="30"/>
          <w:highlight w:val="none"/>
          <w:lang w:val="en-US" w:eastAsia="zh-CN"/>
        </w:rPr>
        <w:t>神湾镇致力于维护社会安全稳定，坚决反对邪教，坚持依法防范和打击邪教组织及人员，严防邪教渗透，为广大人民群众提供一个幸福无邪的健康社会。根据市级部门的工作要求，神湾镇需建立反邪教志愿者服务队伍，为开展反邪教警示教育宣传工作提供专业力量。日常到村（社区）或其他活动场所开展宣传活动，为群众普及反邪教知识，传播远离邪教的健康思想；开展反邪教专题知识讲座，通过讲授知识、PPT演讲等形式为群众提高反邪教知识覆盖面和普及度；负责做好活动时的照片拍摄、视频录影和剪辑，形成活动宣传稿件及时上报，做好活动信息台账等，做实反邪教警示教育宣传工作。</w:t>
      </w:r>
    </w:p>
    <w:p>
      <w:pPr>
        <w:pageBreakBefore w:val="0"/>
        <w:widowControl w:val="0"/>
        <w:numPr>
          <w:ilvl w:val="0"/>
          <w:numId w:val="0"/>
        </w:numPr>
        <w:tabs>
          <w:tab w:val="left" w:pos="567"/>
        </w:tabs>
        <w:kinsoku/>
        <w:wordWrap/>
        <w:overflowPunct/>
        <w:topLinePunct w:val="0"/>
        <w:bidi w:val="0"/>
        <w:spacing w:line="360" w:lineRule="auto"/>
        <w:ind w:firstLine="0" w:firstLineChars="0"/>
        <w:textAlignment w:val="auto"/>
        <w:rPr>
          <w:rFonts w:hint="eastAsia" w:ascii="黑体" w:hAnsi="黑体" w:eastAsia="黑体" w:cs="黑体"/>
          <w:b w:val="0"/>
          <w:bCs w:val="0"/>
          <w:color w:val="000000"/>
          <w:kern w:val="2"/>
          <w:sz w:val="32"/>
          <w:szCs w:val="32"/>
          <w:highlight w:val="none"/>
          <w:lang w:eastAsia="zh-CN"/>
        </w:rPr>
      </w:pPr>
      <w:r>
        <w:rPr>
          <w:rFonts w:hint="eastAsia" w:ascii="黑体" w:hAnsi="黑体" w:eastAsia="黑体" w:cs="黑体"/>
          <w:b w:val="0"/>
          <w:bCs w:val="0"/>
          <w:color w:val="000000"/>
          <w:kern w:val="2"/>
          <w:sz w:val="32"/>
          <w:szCs w:val="32"/>
          <w:highlight w:val="none"/>
          <w:lang w:eastAsia="zh-CN"/>
        </w:rPr>
        <w:t>三、项目经费</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预算金额：¥</w:t>
      </w:r>
      <w:r>
        <w:rPr>
          <w:rFonts w:hint="eastAsia" w:eastAsia="仿宋_GB2312" w:cs="仿宋_GB2312"/>
          <w:snapToGrid w:val="0"/>
          <w:color w:val="000000"/>
          <w:kern w:val="0"/>
          <w:sz w:val="30"/>
          <w:szCs w:val="30"/>
          <w:highlight w:val="none"/>
          <w:lang w:val="en-US" w:eastAsia="zh-CN"/>
        </w:rPr>
        <w:t>1,080,000.00</w:t>
      </w:r>
      <w:r>
        <w:rPr>
          <w:rFonts w:hint="eastAsia" w:ascii="Times New Roman" w:hAnsi="Times New Roman" w:eastAsia="仿宋_GB2312" w:cs="仿宋_GB2312"/>
          <w:snapToGrid w:val="0"/>
          <w:color w:val="000000"/>
          <w:kern w:val="0"/>
          <w:sz w:val="30"/>
          <w:szCs w:val="30"/>
          <w:highlight w:val="none"/>
          <w:lang w:val="en-US" w:eastAsia="zh-CN"/>
        </w:rPr>
        <w:t>元（大写：人民币壹佰零捌万元整），响应报价不得高于预算上限价，否则将被认定为无效报价。</w:t>
      </w:r>
    </w:p>
    <w:p>
      <w:pPr>
        <w:numPr>
          <w:ilvl w:val="0"/>
          <w:numId w:val="0"/>
        </w:numPr>
        <w:tabs>
          <w:tab w:val="left" w:pos="567"/>
        </w:tabs>
        <w:spacing w:line="360" w:lineRule="auto"/>
        <w:ind w:firstLine="0" w:firstLineChars="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四、服务范围</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（一）服务时间：</w:t>
      </w:r>
      <w:r>
        <w:rPr>
          <w:rFonts w:hint="eastAsia" w:ascii="Times New Roman" w:hAnsi="Times New Roman" w:eastAsia="仿宋_GB2312" w:cs="仿宋_GB2312"/>
          <w:snapToGrid w:val="0"/>
          <w:color w:val="000000"/>
          <w:kern w:val="0"/>
          <w:sz w:val="30"/>
          <w:szCs w:val="30"/>
          <w:highlight w:val="none"/>
        </w:rPr>
        <w:t>服务期为三年，</w:t>
      </w:r>
      <w:r>
        <w:rPr>
          <w:rFonts w:hint="eastAsia" w:eastAsia="仿宋_GB2312" w:cs="仿宋_GB2312"/>
          <w:snapToGrid w:val="0"/>
          <w:color w:val="000000"/>
          <w:kern w:val="0"/>
          <w:sz w:val="30"/>
          <w:szCs w:val="30"/>
          <w:highlight w:val="none"/>
        </w:rPr>
        <w:t>具体起始时间以合同签订之日开始算起</w:t>
      </w:r>
      <w:r>
        <w:rPr>
          <w:rFonts w:hint="eastAsia" w:ascii="Times New Roman" w:hAnsi="Times New Roman" w:eastAsia="仿宋_GB2312" w:cs="仿宋_GB2312"/>
          <w:snapToGrid w:val="0"/>
          <w:color w:val="000000"/>
          <w:kern w:val="0"/>
          <w:sz w:val="30"/>
          <w:szCs w:val="30"/>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（二）服务区域：中山市神湾镇。</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（三）服务对象：神湾镇社区矫正、安置帮教、社区戒毒</w:t>
      </w:r>
      <w:r>
        <w:rPr>
          <w:rFonts w:hint="eastAsia" w:eastAsia="仿宋_GB2312" w:cs="仿宋_GB2312"/>
          <w:snapToGrid w:val="0"/>
          <w:color w:val="000000"/>
          <w:kern w:val="0"/>
          <w:sz w:val="30"/>
          <w:szCs w:val="30"/>
          <w:highlight w:val="none"/>
          <w:lang w:val="en-US" w:eastAsia="zh-CN"/>
        </w:rPr>
        <w:t>、</w:t>
      </w:r>
      <w:r>
        <w:rPr>
          <w:rFonts w:hint="eastAsia" w:ascii="Times New Roman" w:hAnsi="Times New Roman" w:eastAsia="仿宋_GB2312" w:cs="仿宋_GB2312"/>
          <w:snapToGrid w:val="0"/>
          <w:color w:val="000000"/>
          <w:kern w:val="0"/>
          <w:sz w:val="30"/>
          <w:szCs w:val="30"/>
          <w:highlight w:val="none"/>
          <w:lang w:val="en-US" w:eastAsia="zh-CN"/>
        </w:rPr>
        <w:t>社区康复人员</w:t>
      </w:r>
      <w:r>
        <w:rPr>
          <w:rFonts w:hint="eastAsia" w:eastAsia="仿宋_GB2312" w:cs="仿宋_GB2312"/>
          <w:snapToGrid w:val="0"/>
          <w:color w:val="000000"/>
          <w:kern w:val="0"/>
          <w:sz w:val="30"/>
          <w:szCs w:val="30"/>
          <w:highlight w:val="none"/>
          <w:lang w:val="en-US" w:eastAsia="zh-CN"/>
        </w:rPr>
        <w:t>、广大群众等</w:t>
      </w:r>
      <w:r>
        <w:rPr>
          <w:rFonts w:hint="eastAsia" w:ascii="Times New Roman" w:hAnsi="Times New Roman" w:eastAsia="仿宋_GB2312" w:cs="仿宋_GB2312"/>
          <w:snapToGrid w:val="0"/>
          <w:color w:val="000000"/>
          <w:kern w:val="0"/>
          <w:sz w:val="30"/>
          <w:szCs w:val="30"/>
          <w:highlight w:val="none"/>
          <w:lang w:val="en-US" w:eastAsia="zh-CN"/>
        </w:rPr>
        <w:t>。</w:t>
      </w:r>
    </w:p>
    <w:p>
      <w:pPr>
        <w:numPr>
          <w:ilvl w:val="0"/>
          <w:numId w:val="0"/>
        </w:numPr>
        <w:tabs>
          <w:tab w:val="left" w:pos="567"/>
        </w:tabs>
        <w:spacing w:line="360" w:lineRule="auto"/>
        <w:ind w:firstLine="0" w:firstLineChars="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五、付款方式及要求</w:t>
      </w:r>
    </w:p>
    <w:p>
      <w:pPr>
        <w:widowControl/>
        <w:spacing w:line="240" w:lineRule="auto"/>
        <w:ind w:firstLine="600" w:firstLineChars="20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（一）服务费分四期进行支付，具体如下：</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1.第一期：支付比例25%。签订合同后一个月内，采购人支付合同总额的25%。</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2.第二期：支付比例25%。成交供应商接受2025年的年度评估并获得良好或优秀后，采购人支付合同总额的25%（若当年年度评估未获得良好或优秀将扣除相应款项，详见评估方案）。</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3.第三期：支付比例25%。成交供应商接受2026年的年度评估并获得良好或优秀后，采购人支付合同总额的25%（若当年年度评估未获得良好或优秀将扣除相应款项，详见评估方案）。</w:t>
      </w:r>
    </w:p>
    <w:p>
      <w:pPr>
        <w:widowControl/>
        <w:spacing w:line="240" w:lineRule="auto"/>
        <w:ind w:left="0" w:leftChars="0" w:firstLine="600" w:firstLineChars="20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4.第四期：支付比例25%。成交供应商接受2027年的年度评估并获得良好或优秀后，采购人支付合同总额的25%（若当年年度评估未获得良好或优秀将扣除相应款项，详见评估方案）。</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（二）成交供应商向采购人申请支付各期款项前，应向采购人提供与当期支付金额相符的有效发票，否则采购人有权拒绝付款。</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（三）上述约定支付服务费时间不含财政部门的审批时间，因采购人财务制度原因造成的延期支付不视为违约。</w:t>
      </w:r>
    </w:p>
    <w:p>
      <w:pPr>
        <w:numPr>
          <w:ilvl w:val="0"/>
          <w:numId w:val="0"/>
        </w:numPr>
        <w:tabs>
          <w:tab w:val="left" w:pos="567"/>
        </w:tabs>
        <w:spacing w:line="360" w:lineRule="auto"/>
        <w:ind w:firstLine="0" w:firstLineChars="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六、人员要求</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（一）成交供应商须为本项目配备专业社会工作人员4人，其中：</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1.项目负责人1人，须具备中级社会工作师资质，同时具备3年（或以上）社会工作服务经验；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2.一线社工3人，须具备助理社会工作师资质或具备1年（或以上）司法禁毒社会工作服务经验。</w:t>
      </w:r>
    </w:p>
    <w:p>
      <w:pPr>
        <w:widowControl/>
        <w:spacing w:line="240" w:lineRule="auto"/>
        <w:ind w:firstLine="600" w:firstLineChars="200"/>
        <w:jc w:val="left"/>
        <w:rPr>
          <w:rFonts w:hint="eastAsia" w:ascii="Times New Roman" w:hAnsi="Times New Roman" w:eastAsia="仿宋_GB2312" w:cs="仿宋_GB2312"/>
          <w:b w:val="0"/>
          <w:snapToGrid w:val="0"/>
          <w:color w:val="000000"/>
          <w:kern w:val="0"/>
          <w:sz w:val="30"/>
          <w:szCs w:val="30"/>
          <w:highlight w:val="none"/>
        </w:rPr>
      </w:pPr>
      <w:r>
        <w:rPr>
          <w:rFonts w:hint="eastAsia" w:ascii="Times New Roman" w:hAnsi="Times New Roman" w:eastAsia="仿宋_GB2312" w:cs="仿宋_GB2312"/>
          <w:b w:val="0"/>
          <w:snapToGrid w:val="0"/>
          <w:color w:val="000000"/>
          <w:kern w:val="0"/>
          <w:sz w:val="30"/>
          <w:szCs w:val="30"/>
          <w:highlight w:val="none"/>
        </w:rPr>
        <w:t>注：</w:t>
      </w:r>
      <w:r>
        <w:rPr>
          <w:rFonts w:hint="eastAsia" w:ascii="Times New Roman" w:hAnsi="Times New Roman" w:eastAsia="仿宋_GB2312" w:cs="仿宋_GB2312"/>
          <w:b w:val="0"/>
          <w:snapToGrid w:val="0"/>
          <w:color w:val="000000"/>
          <w:kern w:val="0"/>
          <w:sz w:val="30"/>
          <w:szCs w:val="30"/>
          <w:highlight w:val="none"/>
          <w:lang w:eastAsia="zh-CN"/>
        </w:rPr>
        <w:t>响应</w:t>
      </w:r>
      <w:r>
        <w:rPr>
          <w:rFonts w:hint="eastAsia" w:ascii="Times New Roman" w:hAnsi="Times New Roman" w:eastAsia="仿宋_GB2312" w:cs="仿宋_GB2312"/>
          <w:b w:val="0"/>
          <w:snapToGrid w:val="0"/>
          <w:color w:val="000000"/>
          <w:kern w:val="0"/>
          <w:sz w:val="30"/>
          <w:szCs w:val="30"/>
          <w:highlight w:val="none"/>
        </w:rPr>
        <w:t>文件中须提供上述人员的</w:t>
      </w:r>
      <w:r>
        <w:rPr>
          <w:rFonts w:hint="eastAsia" w:ascii="Times New Roman" w:hAnsi="Times New Roman" w:eastAsia="仿宋_GB2312" w:cs="仿宋_GB2312"/>
          <w:b w:val="0"/>
          <w:snapToGrid w:val="0"/>
          <w:color w:val="000000"/>
          <w:kern w:val="0"/>
          <w:sz w:val="30"/>
          <w:szCs w:val="30"/>
          <w:highlight w:val="none"/>
          <w:lang w:eastAsia="zh-CN"/>
        </w:rPr>
        <w:t>资质</w:t>
      </w:r>
      <w:r>
        <w:rPr>
          <w:rFonts w:hint="eastAsia" w:ascii="Times New Roman" w:hAnsi="Times New Roman" w:eastAsia="仿宋_GB2312" w:cs="仿宋_GB2312"/>
          <w:b w:val="0"/>
          <w:snapToGrid w:val="0"/>
          <w:color w:val="000000"/>
          <w:kern w:val="0"/>
          <w:sz w:val="30"/>
          <w:szCs w:val="30"/>
          <w:highlight w:val="none"/>
        </w:rPr>
        <w:t>证书复印件、</w:t>
      </w:r>
      <w:r>
        <w:rPr>
          <w:rFonts w:hint="eastAsia" w:ascii="Times New Roman" w:hAnsi="Times New Roman" w:eastAsia="仿宋_GB2312" w:cs="仿宋_GB2312"/>
          <w:b w:val="0"/>
          <w:snapToGrid w:val="0"/>
          <w:color w:val="000000"/>
          <w:kern w:val="0"/>
          <w:sz w:val="30"/>
          <w:szCs w:val="30"/>
          <w:highlight w:val="none"/>
          <w:lang w:eastAsia="zh-CN"/>
        </w:rPr>
        <w:t>供应商</w:t>
      </w:r>
      <w:r>
        <w:rPr>
          <w:rFonts w:hint="eastAsia" w:ascii="Times New Roman" w:hAnsi="Times New Roman" w:eastAsia="仿宋_GB2312" w:cs="仿宋_GB2312"/>
          <w:b w:val="0"/>
          <w:snapToGrid w:val="0"/>
          <w:color w:val="000000"/>
          <w:kern w:val="0"/>
          <w:sz w:val="30"/>
          <w:szCs w:val="30"/>
          <w:highlight w:val="none"/>
        </w:rPr>
        <w:t>为其出具的工作经验证明文件、由</w:t>
      </w:r>
      <w:r>
        <w:rPr>
          <w:rFonts w:hint="eastAsia" w:ascii="Times New Roman" w:hAnsi="Times New Roman" w:eastAsia="仿宋_GB2312" w:cs="仿宋_GB2312"/>
          <w:b w:val="0"/>
          <w:snapToGrid w:val="0"/>
          <w:color w:val="000000"/>
          <w:kern w:val="0"/>
          <w:sz w:val="30"/>
          <w:szCs w:val="30"/>
          <w:highlight w:val="none"/>
          <w:lang w:eastAsia="zh-CN"/>
        </w:rPr>
        <w:t>供应商</w:t>
      </w:r>
      <w:r>
        <w:rPr>
          <w:rFonts w:hint="eastAsia" w:ascii="Times New Roman" w:hAnsi="Times New Roman" w:eastAsia="仿宋_GB2312" w:cs="仿宋_GB2312"/>
          <w:b w:val="0"/>
          <w:snapToGrid w:val="0"/>
          <w:color w:val="000000"/>
          <w:kern w:val="0"/>
          <w:sz w:val="30"/>
          <w:szCs w:val="30"/>
          <w:highlight w:val="none"/>
        </w:rPr>
        <w:t>为其购买的</w:t>
      </w:r>
      <w:r>
        <w:rPr>
          <w:rFonts w:hint="eastAsia" w:eastAsia="仿宋_GB2312" w:cs="仿宋_GB2312"/>
          <w:b w:val="0"/>
          <w:snapToGrid w:val="0"/>
          <w:color w:val="000000"/>
          <w:kern w:val="0"/>
          <w:sz w:val="30"/>
          <w:szCs w:val="30"/>
          <w:highlight w:val="none"/>
          <w:lang w:val="en-US" w:eastAsia="zh-CN"/>
        </w:rPr>
        <w:t>2024年</w:t>
      </w:r>
      <w:r>
        <w:rPr>
          <w:rFonts w:hint="eastAsia" w:ascii="Times New Roman" w:hAnsi="Times New Roman" w:eastAsia="仿宋_GB2312" w:cs="仿宋_GB2312"/>
          <w:b w:val="0"/>
          <w:snapToGrid w:val="0"/>
          <w:color w:val="000000"/>
          <w:kern w:val="0"/>
          <w:sz w:val="30"/>
          <w:szCs w:val="30"/>
          <w:highlight w:val="none"/>
        </w:rPr>
        <w:t>内任意连续3个月的社保证明的复印件（代缴个税税单或参加社会保险的《投保单》或《社会保险参保人员证明》等证明均可）。如果</w:t>
      </w:r>
      <w:r>
        <w:rPr>
          <w:rFonts w:hint="eastAsia" w:ascii="Times New Roman" w:hAnsi="Times New Roman" w:eastAsia="仿宋_GB2312" w:cs="仿宋_GB2312"/>
          <w:b w:val="0"/>
          <w:snapToGrid w:val="0"/>
          <w:color w:val="000000"/>
          <w:kern w:val="0"/>
          <w:sz w:val="30"/>
          <w:szCs w:val="30"/>
          <w:highlight w:val="none"/>
          <w:lang w:eastAsia="zh-CN"/>
        </w:rPr>
        <w:t>供应商</w:t>
      </w:r>
      <w:r>
        <w:rPr>
          <w:rFonts w:hint="eastAsia" w:ascii="Times New Roman" w:hAnsi="Times New Roman" w:eastAsia="仿宋_GB2312" w:cs="仿宋_GB2312"/>
          <w:b w:val="0"/>
          <w:snapToGrid w:val="0"/>
          <w:color w:val="000000"/>
          <w:kern w:val="0"/>
          <w:sz w:val="30"/>
          <w:szCs w:val="30"/>
          <w:highlight w:val="none"/>
        </w:rPr>
        <w:t>成立时间或该人员入职不足3个月的，则提供人员入职证明及入职时间至今的社保证明。</w:t>
      </w:r>
      <w:r>
        <w:rPr>
          <w:rFonts w:hint="eastAsia" w:ascii="Times New Roman" w:hAnsi="Times New Roman" w:eastAsia="仿宋_GB2312" w:cs="仿宋_GB2312"/>
          <w:b w:val="0"/>
          <w:snapToGrid w:val="0"/>
          <w:color w:val="000000"/>
          <w:kern w:val="0"/>
          <w:sz w:val="30"/>
          <w:szCs w:val="30"/>
          <w:highlight w:val="none"/>
          <w:lang w:eastAsia="zh-CN"/>
        </w:rPr>
        <w:t>供应商</w:t>
      </w:r>
      <w:r>
        <w:rPr>
          <w:rFonts w:hint="eastAsia" w:ascii="Times New Roman" w:hAnsi="Times New Roman" w:eastAsia="仿宋_GB2312" w:cs="仿宋_GB2312"/>
          <w:b w:val="0"/>
          <w:snapToGrid w:val="0"/>
          <w:color w:val="000000"/>
          <w:kern w:val="0"/>
          <w:sz w:val="30"/>
          <w:szCs w:val="30"/>
          <w:highlight w:val="none"/>
        </w:rPr>
        <w:t>亦可提供承诺，承诺</w:t>
      </w:r>
      <w:r>
        <w:rPr>
          <w:rFonts w:hint="eastAsia" w:ascii="Times New Roman" w:hAnsi="Times New Roman" w:eastAsia="仿宋_GB2312" w:cs="仿宋_GB2312"/>
          <w:b w:val="0"/>
          <w:snapToGrid w:val="0"/>
          <w:color w:val="000000"/>
          <w:kern w:val="0"/>
          <w:sz w:val="30"/>
          <w:szCs w:val="30"/>
          <w:highlight w:val="none"/>
          <w:lang w:eastAsia="zh-CN"/>
        </w:rPr>
        <w:t>项目成交</w:t>
      </w:r>
      <w:r>
        <w:rPr>
          <w:rFonts w:hint="eastAsia" w:ascii="Times New Roman" w:hAnsi="Times New Roman" w:eastAsia="仿宋_GB2312" w:cs="仿宋_GB2312"/>
          <w:b w:val="0"/>
          <w:snapToGrid w:val="0"/>
          <w:color w:val="000000"/>
          <w:kern w:val="0"/>
          <w:sz w:val="30"/>
          <w:szCs w:val="30"/>
          <w:highlight w:val="none"/>
        </w:rPr>
        <w:t>后投入上述人员（提供承诺视同实质性响应，承诺函格式自拟），并于签订合同前，向采购人提供人员的相关证明材料以供核查，如在签订合同前，</w:t>
      </w:r>
      <w:r>
        <w:rPr>
          <w:rFonts w:hint="eastAsia" w:ascii="Times New Roman" w:hAnsi="Times New Roman" w:eastAsia="仿宋_GB2312" w:cs="仿宋_GB2312"/>
          <w:b w:val="0"/>
          <w:snapToGrid w:val="0"/>
          <w:color w:val="000000"/>
          <w:kern w:val="0"/>
          <w:sz w:val="30"/>
          <w:szCs w:val="30"/>
          <w:highlight w:val="none"/>
          <w:lang w:eastAsia="zh-CN"/>
        </w:rPr>
        <w:t>成交供应商</w:t>
      </w:r>
      <w:r>
        <w:rPr>
          <w:rFonts w:hint="eastAsia" w:ascii="Times New Roman" w:hAnsi="Times New Roman" w:eastAsia="仿宋_GB2312" w:cs="仿宋_GB2312"/>
          <w:b w:val="0"/>
          <w:snapToGrid w:val="0"/>
          <w:color w:val="000000"/>
          <w:kern w:val="0"/>
          <w:sz w:val="30"/>
          <w:szCs w:val="30"/>
          <w:highlight w:val="none"/>
        </w:rPr>
        <w:t>无法提供其承诺</w:t>
      </w:r>
      <w:r>
        <w:rPr>
          <w:rFonts w:hint="eastAsia" w:ascii="Times New Roman" w:hAnsi="Times New Roman" w:eastAsia="仿宋_GB2312" w:cs="仿宋_GB2312"/>
          <w:b w:val="0"/>
          <w:snapToGrid w:val="0"/>
          <w:color w:val="000000"/>
          <w:kern w:val="0"/>
          <w:sz w:val="30"/>
          <w:szCs w:val="30"/>
          <w:highlight w:val="none"/>
          <w:lang w:eastAsia="zh-CN"/>
        </w:rPr>
        <w:t>成交</w:t>
      </w:r>
      <w:r>
        <w:rPr>
          <w:rFonts w:hint="eastAsia" w:ascii="Times New Roman" w:hAnsi="Times New Roman" w:eastAsia="仿宋_GB2312" w:cs="仿宋_GB2312"/>
          <w:b w:val="0"/>
          <w:snapToGrid w:val="0"/>
          <w:color w:val="000000"/>
          <w:kern w:val="0"/>
          <w:sz w:val="30"/>
          <w:szCs w:val="30"/>
          <w:highlight w:val="none"/>
        </w:rPr>
        <w:t>后投入的上述人员，则视为其放弃</w:t>
      </w:r>
      <w:r>
        <w:rPr>
          <w:rFonts w:hint="eastAsia" w:ascii="Times New Roman" w:hAnsi="Times New Roman" w:eastAsia="仿宋_GB2312" w:cs="仿宋_GB2312"/>
          <w:b w:val="0"/>
          <w:snapToGrid w:val="0"/>
          <w:color w:val="000000"/>
          <w:kern w:val="0"/>
          <w:sz w:val="30"/>
          <w:szCs w:val="30"/>
          <w:highlight w:val="none"/>
          <w:lang w:eastAsia="zh-CN"/>
        </w:rPr>
        <w:t>成交</w:t>
      </w:r>
      <w:r>
        <w:rPr>
          <w:rFonts w:hint="eastAsia" w:ascii="Times New Roman" w:hAnsi="Times New Roman" w:eastAsia="仿宋_GB2312" w:cs="仿宋_GB2312"/>
          <w:b w:val="0"/>
          <w:snapToGrid w:val="0"/>
          <w:color w:val="000000"/>
          <w:kern w:val="0"/>
          <w:sz w:val="30"/>
          <w:szCs w:val="30"/>
          <w:highlight w:val="none"/>
        </w:rPr>
        <w:t>资格，采购人有权按照评审报告推荐的</w:t>
      </w:r>
      <w:r>
        <w:rPr>
          <w:rFonts w:hint="eastAsia" w:ascii="Times New Roman" w:hAnsi="Times New Roman" w:eastAsia="仿宋_GB2312" w:cs="仿宋_GB2312"/>
          <w:b w:val="0"/>
          <w:snapToGrid w:val="0"/>
          <w:color w:val="000000"/>
          <w:kern w:val="0"/>
          <w:sz w:val="30"/>
          <w:szCs w:val="30"/>
          <w:highlight w:val="none"/>
          <w:lang w:eastAsia="zh-CN"/>
        </w:rPr>
        <w:t>成交</w:t>
      </w:r>
      <w:r>
        <w:rPr>
          <w:rFonts w:hint="eastAsia" w:ascii="Times New Roman" w:hAnsi="Times New Roman" w:eastAsia="仿宋_GB2312" w:cs="仿宋_GB2312"/>
          <w:b w:val="0"/>
          <w:snapToGrid w:val="0"/>
          <w:color w:val="000000"/>
          <w:kern w:val="0"/>
          <w:sz w:val="30"/>
          <w:szCs w:val="30"/>
          <w:highlight w:val="none"/>
        </w:rPr>
        <w:t>候选人名单排序，确定下一候选人为</w:t>
      </w:r>
      <w:r>
        <w:rPr>
          <w:rFonts w:hint="eastAsia" w:ascii="Times New Roman" w:hAnsi="Times New Roman" w:eastAsia="仿宋_GB2312" w:cs="仿宋_GB2312"/>
          <w:b w:val="0"/>
          <w:snapToGrid w:val="0"/>
          <w:color w:val="000000"/>
          <w:kern w:val="0"/>
          <w:sz w:val="30"/>
          <w:szCs w:val="30"/>
          <w:highlight w:val="none"/>
          <w:lang w:eastAsia="zh-CN"/>
        </w:rPr>
        <w:t>成交供应商</w:t>
      </w:r>
      <w:r>
        <w:rPr>
          <w:rFonts w:hint="eastAsia" w:ascii="Times New Roman" w:hAnsi="Times New Roman" w:eastAsia="仿宋_GB2312" w:cs="仿宋_GB2312"/>
          <w:b w:val="0"/>
          <w:snapToGrid w:val="0"/>
          <w:color w:val="000000"/>
          <w:kern w:val="0"/>
          <w:sz w:val="30"/>
          <w:szCs w:val="30"/>
          <w:highlight w:val="none"/>
        </w:rPr>
        <w:t>，或重新开展政府采购活动。</w:t>
      </w:r>
    </w:p>
    <w:p>
      <w:pPr>
        <w:pStyle w:val="10"/>
        <w:spacing w:line="360" w:lineRule="auto"/>
        <w:ind w:left="0" w:leftChars="0" w:firstLine="600" w:firstLineChars="200"/>
        <w:rPr>
          <w:rFonts w:hint="default" w:ascii="黑体" w:hAnsi="黑体" w:eastAsia="黑体" w:cs="黑体"/>
          <w:b w:val="0"/>
          <w:bCs w:val="0"/>
          <w:color w:val="000000"/>
          <w:sz w:val="32"/>
          <w:szCs w:val="32"/>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（二）成交供应商所配备的专业社会工作人员（含项目负责人）必须</w:t>
      </w:r>
      <w:r>
        <w:rPr>
          <w:rFonts w:hint="eastAsia" w:eastAsia="仿宋_GB2312" w:cs="仿宋_GB2312"/>
          <w:snapToGrid w:val="0"/>
          <w:color w:val="000000"/>
          <w:kern w:val="0"/>
          <w:sz w:val="30"/>
          <w:szCs w:val="30"/>
          <w:highlight w:val="none"/>
          <w:lang w:val="en-US" w:eastAsia="zh-CN"/>
        </w:rPr>
        <w:t>每日轮流到神湾镇综治中心驻点办公</w:t>
      </w:r>
      <w:r>
        <w:rPr>
          <w:rFonts w:hint="eastAsia" w:ascii="Times New Roman" w:hAnsi="Times New Roman" w:eastAsia="仿宋_GB2312" w:cs="仿宋_GB2312"/>
          <w:snapToGrid w:val="0"/>
          <w:color w:val="000000"/>
          <w:kern w:val="0"/>
          <w:sz w:val="30"/>
          <w:szCs w:val="30"/>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w:t>
      </w:r>
      <w:r>
        <w:rPr>
          <w:rFonts w:hint="eastAsia" w:eastAsia="仿宋_GB2312" w:cs="仿宋_GB2312"/>
          <w:snapToGrid w:val="0"/>
          <w:color w:val="000000"/>
          <w:kern w:val="0"/>
          <w:sz w:val="30"/>
          <w:szCs w:val="30"/>
          <w:highlight w:val="none"/>
          <w:lang w:val="en-US" w:eastAsia="zh-CN"/>
        </w:rPr>
        <w:t>三</w:t>
      </w:r>
      <w:r>
        <w:rPr>
          <w:rFonts w:hint="eastAsia" w:ascii="Times New Roman" w:hAnsi="Times New Roman" w:eastAsia="仿宋_GB2312" w:cs="仿宋_GB2312"/>
          <w:snapToGrid w:val="0"/>
          <w:color w:val="000000"/>
          <w:kern w:val="0"/>
          <w:sz w:val="30"/>
          <w:szCs w:val="30"/>
          <w:highlight w:val="none"/>
          <w:lang w:val="en-US" w:eastAsia="zh-CN"/>
        </w:rPr>
        <w:t>）成交供应商所配备的专业社会工作人员必须专职服务于本项目。</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w:t>
      </w:r>
      <w:r>
        <w:rPr>
          <w:rFonts w:hint="eastAsia" w:eastAsia="仿宋_GB2312" w:cs="仿宋_GB2312"/>
          <w:snapToGrid w:val="0"/>
          <w:color w:val="000000"/>
          <w:kern w:val="0"/>
          <w:sz w:val="30"/>
          <w:szCs w:val="30"/>
          <w:highlight w:val="none"/>
          <w:lang w:val="en-US" w:eastAsia="zh-CN"/>
        </w:rPr>
        <w:t>四</w:t>
      </w:r>
      <w:r>
        <w:rPr>
          <w:rFonts w:hint="eastAsia" w:ascii="Times New Roman" w:hAnsi="Times New Roman" w:eastAsia="仿宋_GB2312" w:cs="仿宋_GB2312"/>
          <w:snapToGrid w:val="0"/>
          <w:color w:val="000000"/>
          <w:kern w:val="0"/>
          <w:sz w:val="30"/>
          <w:szCs w:val="30"/>
          <w:highlight w:val="none"/>
          <w:lang w:val="en-US" w:eastAsia="zh-CN"/>
        </w:rPr>
        <w:t>）成交供应商须保证所配备的专业社会工作人员稳定性，并要保证在签约和进驻项目时提供的专业社会工作人员及人员资格条件与成交供应商在响应文件中提</w:t>
      </w:r>
      <w:r>
        <w:rPr>
          <w:rFonts w:hint="eastAsia" w:eastAsia="仿宋_GB2312" w:cs="仿宋_GB2312"/>
          <w:snapToGrid w:val="0"/>
          <w:color w:val="000000"/>
          <w:kern w:val="0"/>
          <w:sz w:val="30"/>
          <w:szCs w:val="30"/>
          <w:highlight w:val="none"/>
          <w:lang w:val="en-US" w:eastAsia="zh-CN"/>
        </w:rPr>
        <w:t>供</w:t>
      </w:r>
      <w:r>
        <w:rPr>
          <w:rFonts w:hint="eastAsia" w:ascii="Times New Roman" w:hAnsi="Times New Roman" w:eastAsia="仿宋_GB2312" w:cs="仿宋_GB2312"/>
          <w:snapToGrid w:val="0"/>
          <w:color w:val="000000"/>
          <w:kern w:val="0"/>
          <w:sz w:val="30"/>
          <w:szCs w:val="30"/>
          <w:highlight w:val="none"/>
          <w:lang w:val="en-US" w:eastAsia="zh-CN"/>
        </w:rPr>
        <w:t>的是一致的。</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w:t>
      </w:r>
      <w:r>
        <w:rPr>
          <w:rFonts w:hint="eastAsia" w:eastAsia="仿宋_GB2312" w:cs="仿宋_GB2312"/>
          <w:snapToGrid w:val="0"/>
          <w:color w:val="000000"/>
          <w:kern w:val="0"/>
          <w:sz w:val="30"/>
          <w:szCs w:val="30"/>
          <w:highlight w:val="none"/>
          <w:lang w:val="en-US" w:eastAsia="zh-CN"/>
        </w:rPr>
        <w:t>五</w:t>
      </w:r>
      <w:r>
        <w:rPr>
          <w:rFonts w:hint="eastAsia" w:ascii="Times New Roman" w:hAnsi="Times New Roman" w:eastAsia="仿宋_GB2312" w:cs="仿宋_GB2312"/>
          <w:snapToGrid w:val="0"/>
          <w:color w:val="000000"/>
          <w:kern w:val="0"/>
          <w:sz w:val="30"/>
          <w:szCs w:val="30"/>
          <w:highlight w:val="none"/>
          <w:lang w:val="en-US" w:eastAsia="zh-CN"/>
        </w:rPr>
        <w:t>）在服务期间，成交供应商所配备的专业社会工作人员的调整需要经采购人书面同意后方可进行调整，若未经采购人书面同意，擅自更换或调整人员的，采购人有权扣除相应款项，情节严重的，视情况可取消成交供应商服务资格。</w:t>
      </w:r>
    </w:p>
    <w:p>
      <w:pPr>
        <w:numPr>
          <w:ilvl w:val="0"/>
          <w:numId w:val="0"/>
        </w:numPr>
        <w:tabs>
          <w:tab w:val="left" w:pos="567"/>
        </w:tabs>
        <w:spacing w:line="360" w:lineRule="auto"/>
        <w:ind w:firstLine="0" w:firstLineChars="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kern w:val="2"/>
          <w:sz w:val="32"/>
          <w:szCs w:val="32"/>
          <w:highlight w:val="none"/>
          <w:lang w:val="en-US" w:eastAsia="zh-CN" w:bidi="ar-SA"/>
        </w:rPr>
        <w:t>七、</w:t>
      </w:r>
      <w:r>
        <w:rPr>
          <w:rFonts w:hint="eastAsia" w:ascii="黑体" w:hAnsi="黑体" w:eastAsia="黑体" w:cs="黑体"/>
          <w:b w:val="0"/>
          <w:bCs w:val="0"/>
          <w:color w:val="000000"/>
          <w:sz w:val="32"/>
          <w:szCs w:val="32"/>
          <w:highlight w:val="none"/>
          <w:lang w:val="en-US" w:eastAsia="zh-CN"/>
        </w:rPr>
        <w:t>服务内容</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（一）禁毒服务</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1.“阳光支援”计划</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（1）出所前</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建立良好的服务关系。因社区戒毒社区康复服务对象在出所前并不了解</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和镇区禁毒办工作人员，为让后续工作顺利进行，</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及镇区禁毒办工作人员应定期入所与强戒人员接触，提前建立关系，了解强戒人员心理动态信息。同时应积极搭建所内外沟通桥梁，协助服务对象与家人关系协调，促进</w:t>
      </w:r>
      <w:r>
        <w:rPr>
          <w:rFonts w:hint="eastAsia" w:eastAsia="仿宋_GB2312" w:cs="仿宋_GB2312"/>
          <w:b w:val="0"/>
          <w:bCs w:val="0"/>
          <w:snapToGrid w:val="0"/>
          <w:color w:val="000000"/>
          <w:kern w:val="0"/>
          <w:sz w:val="30"/>
          <w:szCs w:val="30"/>
          <w:highlight w:val="none"/>
          <w:lang w:val="en-US" w:eastAsia="zh-CN"/>
        </w:rPr>
        <w:t>关</w:t>
      </w:r>
      <w:r>
        <w:rPr>
          <w:rFonts w:hint="eastAsia" w:ascii="Times New Roman" w:hAnsi="Times New Roman" w:eastAsia="仿宋_GB2312" w:cs="仿宋_GB2312"/>
          <w:b w:val="0"/>
          <w:bCs w:val="0"/>
          <w:snapToGrid w:val="0"/>
          <w:color w:val="000000"/>
          <w:kern w:val="0"/>
          <w:sz w:val="30"/>
          <w:szCs w:val="30"/>
          <w:highlight w:val="none"/>
          <w:lang w:val="en-US" w:eastAsia="zh-CN"/>
        </w:rPr>
        <w:t>系融洽，让服务对象得到更多</w:t>
      </w:r>
      <w:r>
        <w:rPr>
          <w:rFonts w:hint="eastAsia" w:eastAsia="仿宋_GB2312" w:cs="仿宋_GB2312"/>
          <w:b w:val="0"/>
          <w:bCs w:val="0"/>
          <w:snapToGrid w:val="0"/>
          <w:color w:val="000000"/>
          <w:kern w:val="0"/>
          <w:sz w:val="30"/>
          <w:szCs w:val="30"/>
          <w:highlight w:val="none"/>
          <w:lang w:val="en-US" w:eastAsia="zh-CN"/>
        </w:rPr>
        <w:t>的</w:t>
      </w:r>
      <w:r>
        <w:rPr>
          <w:rFonts w:hint="eastAsia" w:ascii="Times New Roman" w:hAnsi="Times New Roman" w:eastAsia="仿宋_GB2312" w:cs="仿宋_GB2312"/>
          <w:b w:val="0"/>
          <w:bCs w:val="0"/>
          <w:snapToGrid w:val="0"/>
          <w:color w:val="000000"/>
          <w:kern w:val="0"/>
          <w:sz w:val="30"/>
          <w:szCs w:val="30"/>
          <w:highlight w:val="none"/>
          <w:lang w:val="en-US" w:eastAsia="zh-CN"/>
        </w:rPr>
        <w:t>支持，巩固戒毒成效。对即将出所的服务对象进行康复能力评估，有效推进康复帮扶工作介入。</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（2）无缝对接</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与公安强戒所、司法强戒所建立沟通协作机制。</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与公安民警将根据通知在强戒所接收出所的社区戒毒社区康复服务对象到派出所，完成报到和签定社区戒毒社区康复协议，并为其详细讲解出所后该对象应该遵循的相关管控条例，预防其出现脱管、复吸等情况。</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（3）出所后</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动态跟踪，掌握情况，降低复吸风险。社区戒毒社区康复服务对象出所后，</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应为其制定一人一册的禁毒档案，定期走访、跟踪、了解社区戒毒社区康复服务对象的生活、就业、家庭情况，提醒服务对象定期进行尿检，对有困难的服务对象链接社会资源进行帮扶。同时定期更新社区戒毒社区康复服务对象的档案，包括尿检记录、风险评级、走访和帮扶情况，按市镇工作部署，全面普查户籍在册和非户籍常住吸毒人员数量及现况，落实网格化管控和“互联网+社区戒毒社区康复信息管理平台”使用，做到底数清，情况明，动态信息及时更新。</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（4）自愿戒毒</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对于自愿戒毒的戒毒人员，</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也应接纳与帮扶，针对戒毒康复工作和戒毒治疗，</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应做到：①建立自愿戒毒治疗转介机制，向自愿戒毒的戒毒人员提供援助服务；②向符合参加社区药物维持治疗条件的</w:t>
      </w:r>
      <w:r>
        <w:rPr>
          <w:rFonts w:hint="eastAsia" w:ascii="Times New Roman" w:hAnsi="Times New Roman" w:eastAsia="仿宋_GB2312" w:cs="仿宋_GB2312"/>
          <w:b w:val="0"/>
          <w:bCs w:val="0"/>
          <w:snapToGrid w:val="0"/>
          <w:color w:val="000000"/>
          <w:kern w:val="0"/>
          <w:sz w:val="30"/>
          <w:szCs w:val="30"/>
          <w:highlight w:val="none"/>
        </w:rPr>
        <w:t>吸毒人员</w:t>
      </w:r>
      <w:r>
        <w:rPr>
          <w:rFonts w:hint="eastAsia" w:ascii="Times New Roman" w:hAnsi="Times New Roman" w:eastAsia="仿宋_GB2312" w:cs="仿宋_GB2312"/>
          <w:b w:val="0"/>
          <w:bCs w:val="0"/>
          <w:snapToGrid w:val="0"/>
          <w:color w:val="000000"/>
          <w:kern w:val="0"/>
          <w:sz w:val="30"/>
          <w:szCs w:val="30"/>
          <w:highlight w:val="none"/>
          <w:lang w:val="en-US" w:eastAsia="zh-CN"/>
        </w:rPr>
        <w:t>提供药物维持治疗入组的申请帮助；③向有自愿戒毒需要的</w:t>
      </w:r>
      <w:r>
        <w:rPr>
          <w:rFonts w:hint="eastAsia" w:ascii="Times New Roman" w:hAnsi="Times New Roman" w:eastAsia="仿宋_GB2312" w:cs="仿宋_GB2312"/>
          <w:b w:val="0"/>
          <w:bCs w:val="0"/>
          <w:snapToGrid w:val="0"/>
          <w:color w:val="000000"/>
          <w:kern w:val="0"/>
          <w:sz w:val="30"/>
          <w:szCs w:val="30"/>
          <w:highlight w:val="none"/>
        </w:rPr>
        <w:t>吸毒人员</w:t>
      </w:r>
      <w:r>
        <w:rPr>
          <w:rFonts w:hint="eastAsia" w:ascii="Times New Roman" w:hAnsi="Times New Roman" w:eastAsia="仿宋_GB2312" w:cs="仿宋_GB2312"/>
          <w:b w:val="0"/>
          <w:bCs w:val="0"/>
          <w:snapToGrid w:val="0"/>
          <w:color w:val="000000"/>
          <w:kern w:val="0"/>
          <w:sz w:val="30"/>
          <w:szCs w:val="30"/>
          <w:highlight w:val="none"/>
          <w:lang w:val="en-US" w:eastAsia="zh-CN"/>
        </w:rPr>
        <w:t>提供国家指定的卫生医疗机构治疗推荐；④有吸毒记录人员戒毒措施处置情况，包括社区戒毒和强制隔离戒毒处置措施的处置率要达到100%。对强制隔离戒毒人员出所后的社区康复处置情况的处置率要达到100%，被责令接受社区戒毒、社区康复的服务对象报到执行情况的执行率要达到100%。</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2.“家支援”计划</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在走访社区戒毒社区康复服务对象过程中，不免会接收到服务对象关于家庭的求助，大致有两类：①服务对象与家庭成员间存在不可协调的家庭矛盾，需要</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调解；②服务对象因吸毒导致家庭经济出现困难，导致家庭贫困或家庭成员缺失。</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为此，对于有家庭矛盾的服务对象，</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应通过走访、与家属访谈、心理辅导、开展个案的方式缓解服务对象的家庭矛盾，恢复服务对象的家庭支持，增强其戒断的决心。对于涉毒致贫致孤家庭，</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应链接社会与政府资源，定期对其进行慰问与帮扶，做到不仅出“心”还要出“力”，提高因涉毒致贫致孤家庭的幸福感。</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3.“绿叶”计划</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对于失业或就业困难的服务对象，除了每月公布栏的职介服务，</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也应根据需求组织社区戒毒社区康复</w:t>
      </w:r>
      <w:r>
        <w:rPr>
          <w:rFonts w:hint="eastAsia" w:ascii="Times New Roman" w:hAnsi="Times New Roman" w:eastAsia="仿宋_GB2312" w:cs="仿宋_GB2312"/>
          <w:bCs w:val="0"/>
          <w:snapToGrid w:val="0"/>
          <w:color w:val="000000"/>
          <w:kern w:val="0"/>
          <w:sz w:val="30"/>
          <w:szCs w:val="30"/>
          <w:highlight w:val="none"/>
        </w:rPr>
        <w:t>康复人员</w:t>
      </w:r>
      <w:r>
        <w:rPr>
          <w:rFonts w:hint="eastAsia" w:ascii="Times New Roman" w:hAnsi="Times New Roman" w:eastAsia="仿宋_GB2312" w:cs="仿宋_GB2312"/>
          <w:b w:val="0"/>
          <w:bCs w:val="0"/>
          <w:snapToGrid w:val="0"/>
          <w:color w:val="000000"/>
          <w:kern w:val="0"/>
          <w:sz w:val="30"/>
          <w:szCs w:val="30"/>
          <w:highlight w:val="none"/>
          <w:lang w:val="en-US" w:eastAsia="zh-CN"/>
        </w:rPr>
        <w:t>和社会面吸毒人员开展职业技能培训。同时主动为帮扶的服务对象寻找合适的就业岗位，寻找合适的就业安置点。在服务对象面试成功后，也应开展跟踪回访服务，对帮扶措施进行实时评估，不断完善，实行动态管理。</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4.“心支援”计划</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“心支援”计划由心理辅导与志愿者服务相结合，通过相应的帮扶为服务对象提供社会网络支持。计划内容包括：</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①为来访有需要的服务对象或其家庭成员提供咨询和开展辅导工作，提供支持和帮助。若有需求也应链接专业的心理咨询师进行转介服务。</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②大力发展禁毒志愿者队伍，建立规模禁毒志愿服务团体</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通过招募社区居民成为禁毒志愿者定期开展各类预防宣传活动。同时链接社会爱心企业，热心人士，慈善总会等用心关怀帮扶因涉毒导致的困难家庭人员，如子女，父母，伴侣。</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5.“普照”计划</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“普照”计划的对象分别是青少年和社区居民，为了提高青少年和社区居民对毒品危害的认识，提升识毒、拒毒、防毒能力，强化涉毒普法认识，</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应通过“普照”计划实现预防吸毒的分目标。</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针对青少年群体，</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应持续、创新开展禁毒宣传进学校，通过授课、讲座、游园、仿真毒品展示、“过来人”现身说法等方式，实现“无毒”校园。同时在寒暑假开展“真人互动版”禁毒教育基地参观活动，通过真人演绎、情景互动的形式让青少年更直观、更深入地了解毒品，学会拒绝毒品，对毒品说“不”。</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针对社区居民，专业社会工作人员每月应通过“进农村”、“进场所”、“进单位”、“进家庭”等禁毒宣传活动提高居民禁毒普法度，每月至少举行1场规模不少于600人的禁毒宣传活动及2场规模不少于200人的禁毒宣传活动。同时组织社区居民到镇禁毒教育基地开展每月1次以上（含1次）禁毒教育活动。遇到特殊节日，如“6.26”“6.27”等市镇文件通知考核要求，定期举办不同形式、不同主题禁毒预防宣传教育活动。</w:t>
      </w:r>
    </w:p>
    <w:p>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6.指标及计划</w:t>
      </w:r>
    </w:p>
    <w:p>
      <w:pPr>
        <w:numPr>
          <w:ilvl w:val="0"/>
          <w:numId w:val="0"/>
        </w:numPr>
        <w:tabs>
          <w:tab w:val="left" w:pos="567"/>
        </w:tabs>
        <w:spacing w:line="360" w:lineRule="auto"/>
        <w:jc w:val="center"/>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表1：禁毒服务指标量化表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496"/>
        <w:gridCol w:w="1444"/>
        <w:gridCol w:w="1161"/>
        <w:gridCol w:w="1133"/>
        <w:gridCol w:w="1200"/>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gridSpan w:val="2"/>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rPr>
              <w:t>服务项目</w:t>
            </w: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rPr>
              <w:t>项目分类</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rPr>
              <w:t>量化指标</w:t>
            </w: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rPr>
              <w:t>量化单位</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rPr>
              <w:t>评估指标</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阳光支援</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计划</w:t>
            </w: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所内帮教工作</w:t>
            </w: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咨询、活动、小组</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强戒人员</w:t>
            </w: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按实际强戒人员数量考核</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无缝对接</w:t>
            </w: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出所无缝对接</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出所人员</w:t>
            </w: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百分比</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本地关押人员100%对接出所</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出所后</w:t>
            </w: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档案建设和完善</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所有在册人员</w:t>
            </w: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100%建档，</w:t>
            </w:r>
            <w:r>
              <w:rPr>
                <w:rFonts w:hint="eastAsia" w:ascii="宋体" w:hAnsi="宋体" w:eastAsia="宋体" w:cs="宋体"/>
                <w:color w:val="000000"/>
                <w:kern w:val="0"/>
                <w:sz w:val="21"/>
                <w:szCs w:val="21"/>
                <w:highlight w:val="none"/>
                <w:u w:val="none"/>
              </w:rPr>
              <w:t>一人一册</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全年档案扣分不能超1分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尿液、毛发检测</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社戒、社康、社会面人员</w:t>
            </w: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按禁毒办、公安部门要求开展</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因站点不具备开展尿检工作的相关条件，本项目只能对服务对象作出尿检通知/提醒/陪同服务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kern w:val="0"/>
                <w:sz w:val="21"/>
                <w:szCs w:val="21"/>
                <w:highlight w:val="none"/>
              </w:rPr>
              <w:t>社区戒毒、强制隔离戒毒和社区康复的处置率</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社戒</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社康人员</w:t>
            </w: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百分比</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100%处置</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社区戒毒、社区康复人员复吸情况</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社戒</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社康人员</w:t>
            </w: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百分比</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复吸</w:t>
            </w:r>
            <w:r>
              <w:rPr>
                <w:rFonts w:hint="eastAsia" w:ascii="宋体" w:hAnsi="宋体" w:eastAsia="宋体" w:cs="宋体"/>
                <w:kern w:val="0"/>
                <w:sz w:val="21"/>
                <w:szCs w:val="21"/>
                <w:highlight w:val="none"/>
              </w:rPr>
              <w:t>率不高于20%</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分类分级管控</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社戒、社康、社会面人员</w:t>
            </w: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100%评级</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互联网+应用录入</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在册人员</w:t>
            </w: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百分比</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100%信息数据录入</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自愿戒毒转介服务</w:t>
            </w: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药物维持治疗、自愿戒毒转介</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在册人员</w:t>
            </w: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根据个案需求开展</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“家支援”计划</w:t>
            </w: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家庭辅导</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社会面人员</w:t>
            </w: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根据个案需求开展</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家庭救助(涉毒致贫致孤)</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涉毒家庭</w:t>
            </w: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lang w:val="en-US" w:eastAsia="zh-CN"/>
              </w:rPr>
              <w:t>场</w:t>
            </w:r>
          </w:p>
        </w:tc>
        <w:tc>
          <w:tcPr>
            <w:tcW w:w="1139" w:type="pct"/>
            <w:vAlign w:val="center"/>
          </w:tcPr>
          <w:p>
            <w:pPr>
              <w:widowControl/>
              <w:adjustRightInd w:val="0"/>
              <w:snapToGrid w:val="0"/>
              <w:jc w:val="center"/>
              <w:rPr>
                <w:rFonts w:hint="eastAsia" w:ascii="宋体" w:hAnsi="宋体" w:eastAsia="宋体" w:cs="宋体"/>
                <w:highlight w:val="none"/>
                <w:lang w:val="en-US" w:eastAsia="zh-CN"/>
              </w:rPr>
            </w:pPr>
            <w:r>
              <w:rPr>
                <w:rFonts w:hint="eastAsia" w:ascii="宋体" w:hAnsi="宋体" w:eastAsia="宋体" w:cs="宋体"/>
                <w:color w:val="000000"/>
                <w:kern w:val="0"/>
                <w:sz w:val="21"/>
                <w:szCs w:val="21"/>
                <w:highlight w:val="none"/>
                <w:lang w:val="en-US" w:eastAsia="zh-CN" w:bidi="ar-SA"/>
              </w:rPr>
              <w:t>包括慰问/帮扶</w:t>
            </w:r>
            <w:r>
              <w:rPr>
                <w:rFonts w:hint="eastAsia" w:ascii="宋体" w:hAnsi="宋体" w:cs="宋体"/>
                <w:color w:val="000000"/>
                <w:kern w:val="0"/>
                <w:sz w:val="21"/>
                <w:szCs w:val="21"/>
                <w:highlight w:val="none"/>
                <w:lang w:val="en-US" w:eastAsia="zh-CN" w:bidi="ar-SA"/>
              </w:rPr>
              <w:t>（每</w:t>
            </w:r>
            <w:r>
              <w:rPr>
                <w:rFonts w:hint="eastAsia" w:ascii="宋体" w:hAnsi="宋体" w:eastAsia="宋体" w:cs="宋体"/>
                <w:color w:val="000000"/>
                <w:kern w:val="0"/>
                <w:sz w:val="21"/>
                <w:szCs w:val="21"/>
                <w:highlight w:val="none"/>
                <w:lang w:val="en-US" w:eastAsia="zh-CN" w:bidi="ar-SA"/>
              </w:rPr>
              <w:t>年2场</w:t>
            </w:r>
            <w:r>
              <w:rPr>
                <w:rFonts w:hint="eastAsia" w:ascii="宋体" w:hAnsi="宋体" w:cs="宋体"/>
                <w:color w:val="000000"/>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“心支援”</w:t>
            </w:r>
            <w:r>
              <w:rPr>
                <w:rFonts w:hint="eastAsia" w:ascii="宋体" w:hAnsi="宋体" w:cs="宋体"/>
                <w:color w:val="000000"/>
                <w:kern w:val="0"/>
                <w:sz w:val="21"/>
                <w:szCs w:val="21"/>
                <w:highlight w:val="none"/>
                <w:lang w:val="en-US" w:eastAsia="zh-CN"/>
              </w:rPr>
              <w:t>计划</w:t>
            </w:r>
          </w:p>
        </w:tc>
        <w:tc>
          <w:tcPr>
            <w:tcW w:w="290"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帮扶服务</w:t>
            </w: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个案访谈</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服务对象人数</w:t>
            </w: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按个案需求开展</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eastAsia="zh-CN"/>
              </w:rPr>
              <w:t>个案心理疏导</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服务对象人数</w:t>
            </w: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按个案需求开展</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个案评估</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社戒</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社康</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社会面人员</w:t>
            </w: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按个案需求开展</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个案系统信息登记</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社戒</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社康</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社会面人员</w:t>
            </w: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系统个案帮扶记录每月进行登记录入</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禁毒志愿队</w:t>
            </w: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队伍规模</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名</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25</w:t>
            </w:r>
            <w:r>
              <w:rPr>
                <w:rFonts w:hint="eastAsia" w:ascii="宋体" w:hAnsi="宋体" w:eastAsia="宋体" w:cs="宋体"/>
                <w:color w:val="000000"/>
                <w:kern w:val="0"/>
                <w:sz w:val="21"/>
                <w:szCs w:val="21"/>
                <w:highlight w:val="none"/>
              </w:rPr>
              <w:t>名</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禁毒志愿者培训</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rPr>
              <w:t>场</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每</w:t>
            </w:r>
            <w:r>
              <w:rPr>
                <w:rFonts w:hint="eastAsia" w:ascii="宋体" w:hAnsi="宋体" w:eastAsia="宋体" w:cs="宋体"/>
                <w:color w:val="000000"/>
                <w:kern w:val="0"/>
                <w:sz w:val="21"/>
                <w:szCs w:val="21"/>
                <w:highlight w:val="none"/>
                <w:lang w:val="en-US" w:eastAsia="zh-CN" w:bidi="ar-SA"/>
              </w:rPr>
              <w:t>年2场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志愿者管理制度</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套</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“绿叶”计划</w:t>
            </w:r>
          </w:p>
        </w:tc>
        <w:tc>
          <w:tcPr>
            <w:tcW w:w="290"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职介服务</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36</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每月一次</w:t>
            </w:r>
            <w:r>
              <w:rPr>
                <w:rFonts w:hint="eastAsia" w:ascii="宋体" w:hAnsi="宋体" w:cs="宋体"/>
                <w:color w:val="000000"/>
                <w:kern w:val="0"/>
                <w:sz w:val="21"/>
                <w:szCs w:val="21"/>
                <w:highlight w:val="none"/>
                <w:lang w:val="en-US" w:eastAsia="zh-CN"/>
              </w:rPr>
              <w:t>；每年12次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就业帮扶</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社会面人员</w:t>
            </w: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百分比</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bCs/>
                <w:kern w:val="0"/>
                <w:sz w:val="21"/>
                <w:szCs w:val="21"/>
                <w:highlight w:val="none"/>
              </w:rPr>
              <w:t>就业帮扶率达到80%</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“普照”计划</w:t>
            </w: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青少年</w:t>
            </w: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禁毒宣传进校园活动</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36</w:t>
            </w:r>
            <w:r>
              <w:rPr>
                <w:rFonts w:hint="eastAsia" w:ascii="宋体" w:hAnsi="宋体" w:eastAsia="宋体" w:cs="宋体"/>
                <w:color w:val="auto"/>
                <w:kern w:val="0"/>
                <w:sz w:val="21"/>
                <w:szCs w:val="21"/>
                <w:highlight w:val="none"/>
                <w:lang w:val="en-US" w:eastAsia="zh-CN"/>
              </w:rPr>
              <w:t>场</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每季度每镇内</w:t>
            </w:r>
            <w:r>
              <w:rPr>
                <w:rFonts w:hint="eastAsia" w:ascii="宋体" w:hAnsi="宋体" w:cs="宋体"/>
                <w:color w:val="auto"/>
                <w:kern w:val="0"/>
                <w:sz w:val="21"/>
                <w:szCs w:val="21"/>
                <w:highlight w:val="none"/>
                <w:lang w:val="en-US" w:eastAsia="zh-CN"/>
              </w:rPr>
              <w:t>每所</w:t>
            </w:r>
            <w:r>
              <w:rPr>
                <w:rFonts w:hint="eastAsia" w:ascii="宋体" w:hAnsi="宋体" w:eastAsia="宋体" w:cs="宋体"/>
                <w:color w:val="auto"/>
                <w:kern w:val="0"/>
                <w:sz w:val="21"/>
                <w:szCs w:val="21"/>
                <w:highlight w:val="none"/>
                <w:lang w:val="en-US" w:eastAsia="zh-CN"/>
              </w:rPr>
              <w:t>中小学校各1场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社区居民</w:t>
            </w: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协助职能部门开展禁毒宣传工作</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按照镇禁毒办的工作要求，配合工作开展</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禁毒教育基地的使用</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36</w:t>
            </w:r>
            <w:r>
              <w:rPr>
                <w:rFonts w:hint="eastAsia" w:ascii="宋体" w:hAnsi="宋体" w:eastAsia="宋体" w:cs="宋体"/>
                <w:color w:val="000000"/>
                <w:kern w:val="0"/>
                <w:sz w:val="21"/>
                <w:szCs w:val="21"/>
                <w:highlight w:val="none"/>
              </w:rPr>
              <w:t>场</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每月至少一场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六进禁毒预防教育活动</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18</w:t>
            </w:r>
            <w:r>
              <w:rPr>
                <w:rFonts w:hint="eastAsia" w:ascii="宋体" w:hAnsi="宋体" w:eastAsia="宋体" w:cs="宋体"/>
                <w:color w:val="000000"/>
                <w:kern w:val="0"/>
                <w:sz w:val="21"/>
                <w:szCs w:val="21"/>
                <w:highlight w:val="none"/>
                <w:lang w:val="en-US" w:eastAsia="zh-CN"/>
              </w:rPr>
              <w:t>场</w:t>
            </w:r>
          </w:p>
        </w:tc>
        <w:tc>
          <w:tcPr>
            <w:tcW w:w="1139" w:type="pct"/>
            <w:vAlign w:val="center"/>
          </w:tcPr>
          <w:p>
            <w:pPr>
              <w:widowControl/>
              <w:adjustRightInd w:val="0"/>
              <w:snapToGrid w:val="0"/>
              <w:spacing w:line="360" w:lineRule="auto"/>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知晓率达到95%</w:t>
            </w:r>
            <w:r>
              <w:rPr>
                <w:rFonts w:hint="eastAsia" w:ascii="宋体" w:hAnsi="宋体" w:eastAsia="宋体" w:cs="宋体"/>
                <w:color w:val="000000"/>
                <w:kern w:val="0"/>
                <w:sz w:val="21"/>
                <w:szCs w:val="21"/>
                <w:highlight w:val="none"/>
                <w:lang w:eastAsia="zh-CN"/>
              </w:rPr>
              <w:t>；</w:t>
            </w:r>
          </w:p>
          <w:p>
            <w:pPr>
              <w:widowControl/>
              <w:adjustRightInd w:val="0"/>
              <w:snapToGrid w:val="0"/>
              <w:spacing w:line="360" w:lineRule="auto"/>
              <w:jc w:val="center"/>
              <w:rPr>
                <w:rFonts w:hint="eastAsia" w:ascii="宋体" w:hAnsi="宋体" w:eastAsia="宋体" w:cs="宋体"/>
                <w:highlight w:val="none"/>
                <w:lang w:val="en-US" w:eastAsia="zh-CN"/>
              </w:rPr>
            </w:pPr>
            <w:r>
              <w:rPr>
                <w:rFonts w:hint="eastAsia" w:ascii="宋体" w:hAnsi="宋体" w:cs="宋体"/>
                <w:color w:val="000000"/>
                <w:kern w:val="0"/>
                <w:sz w:val="21"/>
                <w:szCs w:val="21"/>
                <w:highlight w:val="none"/>
                <w:lang w:val="en-US" w:eastAsia="zh-CN"/>
              </w:rPr>
              <w:t>每</w:t>
            </w:r>
            <w:r>
              <w:rPr>
                <w:rFonts w:hint="eastAsia" w:ascii="宋体" w:hAnsi="宋体" w:eastAsia="宋体" w:cs="宋体"/>
                <w:color w:val="000000"/>
                <w:kern w:val="0"/>
                <w:sz w:val="21"/>
                <w:szCs w:val="21"/>
                <w:highlight w:val="none"/>
                <w:lang w:val="en-US" w:eastAsia="zh-CN"/>
              </w:rPr>
              <w:t>年6场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报送</w:t>
            </w: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信息通稿</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篇</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按考核要求进行</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行政工作</w:t>
            </w: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与</w:t>
            </w:r>
            <w:r>
              <w:rPr>
                <w:rFonts w:hint="eastAsia" w:ascii="宋体" w:hAnsi="宋体" w:eastAsia="宋体" w:cs="宋体"/>
                <w:color w:val="000000"/>
                <w:kern w:val="0"/>
                <w:sz w:val="21"/>
                <w:szCs w:val="21"/>
                <w:highlight w:val="none"/>
                <w:lang w:eastAsia="zh-CN"/>
              </w:rPr>
              <w:t>采购人</w:t>
            </w:r>
            <w:r>
              <w:rPr>
                <w:rFonts w:hint="eastAsia" w:ascii="宋体" w:hAnsi="宋体" w:eastAsia="宋体" w:cs="宋体"/>
                <w:color w:val="000000"/>
                <w:kern w:val="0"/>
                <w:sz w:val="21"/>
                <w:szCs w:val="21"/>
                <w:highlight w:val="none"/>
              </w:rPr>
              <w:t>联席会议</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次</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每</w:t>
            </w:r>
            <w:r>
              <w:rPr>
                <w:rFonts w:hint="eastAsia" w:ascii="宋体" w:hAnsi="宋体" w:eastAsia="宋体" w:cs="宋体"/>
                <w:color w:val="000000"/>
                <w:kern w:val="0"/>
                <w:sz w:val="21"/>
                <w:szCs w:val="21"/>
                <w:highlight w:val="none"/>
                <w:lang w:val="en-US" w:eastAsia="zh-CN"/>
              </w:rPr>
              <w:t>季度</w:t>
            </w:r>
            <w:r>
              <w:rPr>
                <w:rFonts w:hint="eastAsia" w:ascii="宋体" w:hAnsi="宋体" w:eastAsia="宋体" w:cs="宋体"/>
                <w:color w:val="000000"/>
                <w:kern w:val="0"/>
                <w:sz w:val="21"/>
                <w:szCs w:val="21"/>
                <w:highlight w:val="none"/>
              </w:rPr>
              <w:t>1次</w:t>
            </w:r>
            <w:r>
              <w:rPr>
                <w:rFonts w:hint="eastAsia" w:ascii="宋体" w:hAnsi="宋体" w:cs="宋体"/>
                <w:color w:val="000000"/>
                <w:kern w:val="0"/>
                <w:sz w:val="21"/>
                <w:szCs w:val="21"/>
                <w:highlight w:val="none"/>
                <w:lang w:eastAsia="zh-CN"/>
              </w:rPr>
              <w:t>；每年</w:t>
            </w:r>
            <w:r>
              <w:rPr>
                <w:rFonts w:hint="eastAsia" w:ascii="宋体" w:hAnsi="宋体" w:cs="宋体"/>
                <w:color w:val="000000"/>
                <w:kern w:val="0"/>
                <w:sz w:val="21"/>
                <w:szCs w:val="21"/>
                <w:highlight w:val="none"/>
                <w:lang w:val="en-US" w:eastAsia="zh-CN"/>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会议记录</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篇</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增强员工综合素质</w:t>
            </w: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员工培训</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场</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每季度</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每</w:t>
            </w:r>
            <w:r>
              <w:rPr>
                <w:rFonts w:hint="eastAsia" w:ascii="宋体" w:hAnsi="宋体" w:eastAsia="宋体" w:cs="宋体"/>
                <w:color w:val="auto"/>
                <w:kern w:val="0"/>
                <w:sz w:val="21"/>
                <w:szCs w:val="21"/>
                <w:highlight w:val="none"/>
                <w:lang w:eastAsia="zh-CN"/>
              </w:rPr>
              <w:t>年</w:t>
            </w:r>
            <w:r>
              <w:rPr>
                <w:rFonts w:hint="eastAsia" w:ascii="宋体" w:hAnsi="宋体" w:eastAsia="宋体" w:cs="宋体"/>
                <w:color w:val="auto"/>
                <w:kern w:val="0"/>
                <w:sz w:val="21"/>
                <w:szCs w:val="21"/>
                <w:highlight w:val="none"/>
                <w:lang w:val="en-US" w:eastAsia="zh-CN"/>
              </w:rPr>
              <w:t>4次；</w:t>
            </w:r>
            <w:r>
              <w:rPr>
                <w:rFonts w:hint="eastAsia" w:ascii="宋体" w:hAnsi="宋体" w:eastAsia="宋体" w:cs="宋体"/>
                <w:color w:val="auto"/>
                <w:kern w:val="0"/>
                <w:sz w:val="21"/>
                <w:szCs w:val="21"/>
                <w:highlight w:val="none"/>
                <w:lang w:eastAsia="zh-CN"/>
              </w:rPr>
              <w:t>培训信息稿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个人督导</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90</w:t>
            </w:r>
            <w:r>
              <w:rPr>
                <w:rFonts w:hint="eastAsia" w:ascii="宋体" w:hAnsi="宋体" w:eastAsia="宋体" w:cs="宋体"/>
                <w:color w:val="000000"/>
                <w:kern w:val="0"/>
                <w:sz w:val="21"/>
                <w:szCs w:val="21"/>
                <w:highlight w:val="none"/>
                <w:lang w:val="en-US" w:eastAsia="zh-CN"/>
              </w:rPr>
              <w:t>人</w:t>
            </w:r>
            <w:r>
              <w:rPr>
                <w:rFonts w:hint="eastAsia" w:ascii="宋体" w:hAnsi="宋体" w:eastAsia="宋体" w:cs="宋体"/>
                <w:color w:val="000000"/>
                <w:kern w:val="0"/>
                <w:sz w:val="21"/>
                <w:szCs w:val="21"/>
                <w:highlight w:val="none"/>
              </w:rPr>
              <w:t>次</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每</w:t>
            </w:r>
            <w:r>
              <w:rPr>
                <w:rFonts w:hint="eastAsia" w:ascii="宋体" w:hAnsi="宋体" w:eastAsia="宋体" w:cs="宋体"/>
                <w:color w:val="auto"/>
                <w:kern w:val="0"/>
                <w:sz w:val="21"/>
                <w:szCs w:val="21"/>
                <w:highlight w:val="none"/>
                <w:lang w:val="en-US" w:eastAsia="zh-CN"/>
              </w:rPr>
              <w:t>两</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次；</w:t>
            </w:r>
            <w:r>
              <w:rPr>
                <w:rFonts w:hint="eastAsia" w:ascii="宋体" w:hAnsi="宋体" w:cs="宋体"/>
                <w:color w:val="auto"/>
                <w:kern w:val="0"/>
                <w:sz w:val="21"/>
                <w:szCs w:val="21"/>
                <w:highlight w:val="none"/>
                <w:lang w:val="en-US" w:eastAsia="zh-CN"/>
              </w:rPr>
              <w:t>每</w:t>
            </w:r>
            <w:r>
              <w:rPr>
                <w:rFonts w:hint="eastAsia" w:ascii="宋体" w:hAnsi="宋体" w:eastAsia="宋体" w:cs="宋体"/>
                <w:color w:val="auto"/>
                <w:kern w:val="0"/>
                <w:sz w:val="21"/>
                <w:szCs w:val="21"/>
                <w:highlight w:val="none"/>
                <w:lang w:val="en-US" w:eastAsia="zh-CN"/>
              </w:rPr>
              <w:t>年</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次；台账登记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团队会议督导</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场</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每</w:t>
            </w:r>
            <w:r>
              <w:rPr>
                <w:rFonts w:hint="eastAsia" w:ascii="宋体" w:hAnsi="宋体" w:eastAsia="宋体" w:cs="宋体"/>
                <w:color w:val="auto"/>
                <w:kern w:val="0"/>
                <w:sz w:val="21"/>
                <w:szCs w:val="21"/>
                <w:highlight w:val="none"/>
                <w:lang w:val="en-US" w:eastAsia="zh-CN"/>
              </w:rPr>
              <w:t>季度</w:t>
            </w:r>
            <w:r>
              <w:rPr>
                <w:rFonts w:hint="eastAsia" w:ascii="宋体" w:hAnsi="宋体" w:eastAsia="宋体" w:cs="宋体"/>
                <w:color w:val="auto"/>
                <w:kern w:val="0"/>
                <w:sz w:val="21"/>
                <w:szCs w:val="21"/>
                <w:highlight w:val="none"/>
              </w:rPr>
              <w:t>1次</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eastAsia="zh-CN"/>
              </w:rPr>
              <w:t>每</w:t>
            </w:r>
            <w:r>
              <w:rPr>
                <w:rFonts w:hint="eastAsia" w:ascii="宋体" w:hAnsi="宋体" w:eastAsia="宋体" w:cs="宋体"/>
                <w:color w:val="auto"/>
                <w:kern w:val="0"/>
                <w:sz w:val="21"/>
                <w:szCs w:val="21"/>
                <w:highlight w:val="none"/>
                <w:lang w:eastAsia="zh-CN"/>
              </w:rPr>
              <w:t>年</w:t>
            </w:r>
            <w:r>
              <w:rPr>
                <w:rFonts w:hint="eastAsia" w:ascii="宋体" w:hAnsi="宋体" w:eastAsia="宋体" w:cs="宋体"/>
                <w:color w:val="auto"/>
                <w:kern w:val="0"/>
                <w:sz w:val="21"/>
                <w:szCs w:val="21"/>
                <w:highlight w:val="none"/>
                <w:lang w:val="en-US" w:eastAsia="zh-CN"/>
              </w:rPr>
              <w:t>4次；</w:t>
            </w:r>
            <w:r>
              <w:rPr>
                <w:rFonts w:hint="eastAsia" w:ascii="宋体" w:hAnsi="宋体" w:eastAsia="宋体" w:cs="宋体"/>
                <w:color w:val="auto"/>
                <w:kern w:val="0"/>
                <w:sz w:val="21"/>
                <w:szCs w:val="21"/>
                <w:highlight w:val="none"/>
                <w:lang w:eastAsia="zh-CN"/>
              </w:rPr>
              <w:t>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规章制度建设</w:t>
            </w: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岗位职责、中心日常运作管理制度</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套</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社工督导制度</w:t>
            </w:r>
          </w:p>
        </w:tc>
        <w:tc>
          <w:tcPr>
            <w:tcW w:w="681" w:type="pct"/>
            <w:vAlign w:val="bottom"/>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bottom"/>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套</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个案运作模式</w:t>
            </w:r>
          </w:p>
        </w:tc>
        <w:tc>
          <w:tcPr>
            <w:tcW w:w="681" w:type="pct"/>
            <w:vAlign w:val="bottom"/>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bottom"/>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套</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小组程序模式</w:t>
            </w:r>
          </w:p>
        </w:tc>
        <w:tc>
          <w:tcPr>
            <w:tcW w:w="681" w:type="pct"/>
            <w:vAlign w:val="bottom"/>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bottom"/>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套</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社区宣传活动</w:t>
            </w:r>
          </w:p>
        </w:tc>
        <w:tc>
          <w:tcPr>
            <w:tcW w:w="681" w:type="pct"/>
            <w:vAlign w:val="bottom"/>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bottom"/>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场次</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按考核要求进行</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项目管理制度</w:t>
            </w:r>
          </w:p>
        </w:tc>
        <w:tc>
          <w:tcPr>
            <w:tcW w:w="681" w:type="pct"/>
            <w:vAlign w:val="bottom"/>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bottom"/>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套</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志愿服务管理制度</w:t>
            </w:r>
          </w:p>
        </w:tc>
        <w:tc>
          <w:tcPr>
            <w:tcW w:w="681" w:type="pct"/>
            <w:vAlign w:val="bottom"/>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bottom"/>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套</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服务成果产出</w:t>
            </w: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完成项目进度的工作汇报、总结报告</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份</w:t>
            </w: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36</w:t>
            </w:r>
            <w:r>
              <w:rPr>
                <w:rFonts w:hint="eastAsia" w:ascii="宋体" w:hAnsi="宋体" w:eastAsia="宋体" w:cs="宋体"/>
                <w:color w:val="000000"/>
                <w:kern w:val="0"/>
                <w:sz w:val="21"/>
                <w:szCs w:val="21"/>
                <w:highlight w:val="none"/>
              </w:rPr>
              <w:t>份工作汇报；</w:t>
            </w:r>
            <w:r>
              <w:rPr>
                <w:rFonts w:hint="eastAsia" w:ascii="宋体" w:hAnsi="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份总结报告</w:t>
            </w: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每月</w:t>
            </w:r>
            <w:r>
              <w:rPr>
                <w:rFonts w:hint="eastAsia" w:ascii="宋体" w:hAnsi="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份工作汇报</w:t>
            </w:r>
            <w:r>
              <w:rPr>
                <w:rFonts w:hint="eastAsia" w:ascii="宋体" w:hAnsi="宋体" w:cs="宋体"/>
                <w:color w:val="000000"/>
                <w:kern w:val="0"/>
                <w:sz w:val="21"/>
                <w:szCs w:val="21"/>
                <w:highlight w:val="none"/>
                <w:lang w:eastAsia="zh-CN"/>
              </w:rPr>
              <w:t>；每年</w:t>
            </w:r>
            <w:r>
              <w:rPr>
                <w:rFonts w:hint="eastAsia" w:ascii="宋体" w:hAnsi="宋体" w:eastAsia="宋体" w:cs="宋体"/>
                <w:color w:val="000000"/>
                <w:kern w:val="0"/>
                <w:sz w:val="21"/>
                <w:szCs w:val="21"/>
                <w:highlight w:val="none"/>
              </w:rPr>
              <w:t>年终</w:t>
            </w:r>
            <w:r>
              <w:rPr>
                <w:rFonts w:hint="eastAsia" w:ascii="宋体" w:hAnsi="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份工作总结报告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其它</w:t>
            </w:r>
          </w:p>
        </w:tc>
        <w:tc>
          <w:tcPr>
            <w:tcW w:w="29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按年度中山市全民禁毒工程成效评价办法开展</w:t>
            </w:r>
          </w:p>
        </w:tc>
        <w:tc>
          <w:tcPr>
            <w:tcW w:w="681"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704"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1139"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bl>
    <w:p>
      <w:pPr>
        <w:pStyle w:val="10"/>
        <w:spacing w:line="360" w:lineRule="auto"/>
        <w:ind w:left="0" w:leftChars="0"/>
        <w:rPr>
          <w:rFonts w:hint="eastAsia" w:ascii="宋体" w:hAnsi="宋体" w:eastAsia="宋体" w:cs="宋体"/>
          <w:b w:val="0"/>
          <w:bCs w:val="0"/>
          <w:color w:val="000000"/>
          <w:szCs w:val="21"/>
          <w:highlight w:val="none"/>
          <w:lang w:val="en-US" w:eastAsia="zh-CN"/>
        </w:rPr>
      </w:pPr>
    </w:p>
    <w:p>
      <w:pPr>
        <w:widowControl/>
        <w:numPr>
          <w:ilvl w:val="0"/>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bookmarkStart w:id="3" w:name="_Toc4842"/>
      <w:r>
        <w:rPr>
          <w:rFonts w:hint="eastAsia" w:ascii="Times New Roman" w:hAnsi="Times New Roman" w:eastAsia="仿宋_GB2312" w:cs="仿宋_GB2312"/>
          <w:b w:val="0"/>
          <w:bCs w:val="0"/>
          <w:snapToGrid w:val="0"/>
          <w:color w:val="000000"/>
          <w:kern w:val="0"/>
          <w:sz w:val="30"/>
          <w:szCs w:val="30"/>
          <w:highlight w:val="none"/>
          <w:lang w:val="en-US" w:eastAsia="zh-CN"/>
        </w:rPr>
        <w:t>（二）社矫安帮服务</w:t>
      </w:r>
      <w:bookmarkEnd w:id="3"/>
    </w:p>
    <w:p>
      <w:pPr>
        <w:widowControl/>
        <w:numPr>
          <w:ilvl w:val="0"/>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社矫安帮服务将运用专业方法，以司法局的指导意见作为方针，根据司法所的工作安排和部署，协助司法所对神湾镇社区矫正对象进行教育矫治和帮教工作，为神湾镇社区矫正对象打造一个互助、成长的平台，促进社区矫正对象心理健康发展和正常生活，帮助他们重新起航，实现社区矫正对象的再社会化。</w:t>
      </w:r>
    </w:p>
    <w:p>
      <w:pPr>
        <w:widowControl/>
        <w:numPr>
          <w:ilvl w:val="0"/>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1.常规服务</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（1）前期介入</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做好入矫对接准备，向当地司法所、社区及家属了解社区矫正对象基本信息。</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（2）报到建档（根据中山市社区矫正社会工作服务工作指引的档案管理要求做好社区矫正对象个人档案）</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社区矫正对象按规定时间到执行地报到后，</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开展的工作包括但不限于以下内容：①应了解社区矫正对象基本信息；</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②应向社区矫正对象宣传社区矫正的相关法律、法规、政策规定；</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③协助社区矫正对象签订社区矫正协议书、权利义务告知书；</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④应为社区矫正对象建立档案。</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（3）评估</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对社区矫正对象应开展评估工作，了解其面临的问题及需求，评估工作包括但不限于以下内容：</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①报到时对社区矫正对象表现出的生理、心理、社会等问题和需求进行预估；</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②对社区矫正对象进行风险评估，包括评估社区矫正对象潜在危机、再犯罪风险等；</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③对社区矫正对象的心理社会发展需求进行评估；</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④对社区矫正对象的社会支持系统进行评估，包括评估社会、家庭、朋辈等各种正面和负面因素；</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⑤以上评估内容应根据需要记录、归档。</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（4）实地调查走访</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①根据社区矫正机构的委托</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对社区矫正对象进行实地调查走访：</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②掌握社区矫正对象的实际情况和近期动态</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并及时反馈社区矫正机构。</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（5）协助社区矫正管理事务</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根据市司法局、镇（街）司法所要求，协助开展有关社区矫正管理事务，工作包括但不限于以下内容：</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①进行社区矫正对象动态管控、动态跟踪；</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②对社区矫正对象登记、信息采集；</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③督促、帮助社区矫正对象履行协议；</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④收集及报告拒绝报到及严重违反社区矫正协议的社区矫正对象资料；</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⑤根据风险等级评估对社区矫正对象开展支持性谈话服务。</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（6）法治道德教育</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①组织社区矫正对象进行法治、道德等主题的教育</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及时掌握社区矫正对象的学习记录与效果反馈；</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②依托省社区矫正远程教育平台开展社区矫正对象线上教育，有针对性的推送形势政策、法治道德、心理健康、技能培训等教育学习内容。</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③根据社区矫正对象的综合评估结果、个体特征、日常表现等设置个性化课程。</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（7）组织公益活动</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遵循个别化矫正原则</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根据综合评估情况</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组织有劳动能力的社区矫正对象参加公益活动，向社会、社区及特定机构和个人提供公益性服务</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修复社会关系</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培养社会责任感。</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（8）宣传教育工作</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根据社区矫正对象、其家庭、社区、社会需求，开展社区矫正宣传和教育工作，服务包括但不限于以下内容:</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①应对社区矫正对象及其家属开展社区矫正法律法规、社会工作服务等信息和资源的宣传工作；</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②应开展调适社区矫正对象与社区及社会关系的宣传教育服务，构建社会支持网络，营造有利于社区矫正的社会环境；</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③应开展社区矫正及法律法规、政策等相关知识的宣传，增强全民法律意识；</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④应组织社区矫正对象参与社区志愿活动，鼓励其参与社区协商，为社区发展出谋划策；动员社区矫正服务对象参加社区组织的各类公益倡导活动，促进社区融入。</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2.拓展服务</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（1）心理辅导</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①了解社区矫正对象的心理状况，综合运用心理健康教育、心理测量与评估、心理咨询与疏导、心理危机干预及心理疾病转介等方法提供服务；</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②可借鉴认知治疗、行为治疗、家庭治疗等专业工作技术，为有需要的社区矫正对象开展社会心理行为干预；</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③应对有需要的社区矫正对象提供转介；</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④建立社区矫正服务对象心理评估档案</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实行跟踪服务</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帮助其消除心理障碍</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减少负面情绪</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缓解心理压力</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增强适应社会能力。</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（2）就业帮扶</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①应依据社区矫正对象需求</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评估社区矫正对象的就业意愿、就业能力、就业资源</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协助制定就业技能培训计划</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开展就业指导；</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②应为有需要的社区矫正对象链接就学就业资源和其他政府资源与社会资源，提升其发展能力。</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（3）家庭支持</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①应依据社区矫正对象需求</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了解社区矫正对象家庭基本情况</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评估其家庭问题及需求；</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②帮助社区矫正对象改善家庭关系</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缓解家庭矛盾</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解决家庭问题</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促进家庭成员支持并参与社区矫正对象的监管、教育、帮扶。</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3.特色（创新）服务</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（1）未成年社区矫正对象教育帮扶</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①应遵循教育、感化、挽救的方针</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坚持教育为主、惩罚为辅的工作理念；</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②应严格按照与成年社区矫正对象分别进行的方式</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开展心理情绪疏导、行为偏差纠正；</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③应重视未成年社区矫正对象家庭社会关系修复</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社会功能发展</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引导就学就业</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帮助未成年社区矫正对象顺利回归社会。</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（2）政策倡导</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应研究、分析与社区矫正相关的法律、法规及政策的不完善内容，向有关职能部门提出完善建议。</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（3）创新服务</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应根据服务实施地的需求和实际情况在每个服务年度中设计不少于一个创新服务。</w:t>
      </w:r>
      <w:r>
        <w:rPr>
          <w:rFonts w:hint="eastAsia" w:eastAsia="仿宋_GB2312" w:cs="仿宋_GB2312"/>
          <w:b w:val="0"/>
          <w:bCs w:val="0"/>
          <w:snapToGrid w:val="0"/>
          <w:color w:val="000000"/>
          <w:kern w:val="0"/>
          <w:sz w:val="30"/>
          <w:szCs w:val="30"/>
          <w:highlight w:val="none"/>
          <w:lang w:val="en-US" w:eastAsia="zh-CN"/>
        </w:rPr>
        <w:t>协助</w:t>
      </w:r>
      <w:r>
        <w:rPr>
          <w:rFonts w:hint="eastAsia" w:ascii="Times New Roman" w:hAnsi="Times New Roman" w:eastAsia="仿宋_GB2312" w:cs="仿宋_GB2312"/>
          <w:b w:val="0"/>
          <w:bCs w:val="0"/>
          <w:snapToGrid w:val="0"/>
          <w:color w:val="000000"/>
          <w:kern w:val="0"/>
          <w:sz w:val="30"/>
          <w:szCs w:val="30"/>
          <w:highlight w:val="none"/>
          <w:lang w:val="en-US" w:eastAsia="zh-CN"/>
        </w:rPr>
        <w:t>司法所根据实际情况以及社区矫正对象需求和特征，探索具有辖区特色的社区矫正社会工作服务。如：加大助矫志愿者队伍建设，通过大力招募助矫志愿者，促进社志联动，动员多方资源和力量，齐来助矫，形成多样化的各尽其能的帮教模式。</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4.其他宣传活动及服务</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做好普法、反邪教、扫黑除恶宣传教育工作，针对不同专项开展相关政策法规的宣传活动，每年必须开展普法、扫黑除恶宣传活动各12场（三年各36场），</w:t>
      </w:r>
      <w:r>
        <w:rPr>
          <w:rFonts w:hint="eastAsia" w:eastAsia="仿宋_GB2312" w:cs="仿宋_GB2312"/>
          <w:b w:val="0"/>
          <w:bCs w:val="0"/>
          <w:snapToGrid w:val="0"/>
          <w:color w:val="000000"/>
          <w:kern w:val="0"/>
          <w:sz w:val="30"/>
          <w:szCs w:val="30"/>
          <w:highlight w:val="none"/>
          <w:lang w:val="en-US" w:eastAsia="zh-CN"/>
        </w:rPr>
        <w:t>每月开展反邪教宣传活动不少于两次</w:t>
      </w:r>
      <w:r>
        <w:rPr>
          <w:rFonts w:hint="eastAsia" w:ascii="Times New Roman" w:hAnsi="Times New Roman" w:eastAsia="仿宋_GB2312" w:cs="仿宋_GB2312"/>
          <w:b w:val="0"/>
          <w:bCs w:val="0"/>
          <w:snapToGrid w:val="0"/>
          <w:color w:val="000000"/>
          <w:kern w:val="0"/>
          <w:sz w:val="30"/>
          <w:szCs w:val="30"/>
          <w:highlight w:val="none"/>
          <w:lang w:val="en-US" w:eastAsia="zh-CN"/>
        </w:rPr>
        <w:t>（三年</w:t>
      </w:r>
      <w:r>
        <w:rPr>
          <w:rFonts w:hint="eastAsia" w:eastAsia="仿宋_GB2312" w:cs="仿宋_GB2312"/>
          <w:b w:val="0"/>
          <w:bCs w:val="0"/>
          <w:snapToGrid w:val="0"/>
          <w:color w:val="000000"/>
          <w:kern w:val="0"/>
          <w:sz w:val="30"/>
          <w:szCs w:val="30"/>
          <w:highlight w:val="none"/>
          <w:lang w:val="en-US" w:eastAsia="zh-CN"/>
        </w:rPr>
        <w:t>至少开展72</w:t>
      </w:r>
      <w:r>
        <w:rPr>
          <w:rFonts w:hint="eastAsia" w:ascii="Times New Roman" w:hAnsi="Times New Roman" w:eastAsia="仿宋_GB2312" w:cs="仿宋_GB2312"/>
          <w:b w:val="0"/>
          <w:bCs w:val="0"/>
          <w:snapToGrid w:val="0"/>
          <w:color w:val="000000"/>
          <w:kern w:val="0"/>
          <w:sz w:val="30"/>
          <w:szCs w:val="30"/>
          <w:highlight w:val="none"/>
          <w:lang w:val="en-US" w:eastAsia="zh-CN"/>
        </w:rPr>
        <w:t>场）</w:t>
      </w:r>
      <w:r>
        <w:rPr>
          <w:rFonts w:hint="eastAsia" w:eastAsia="仿宋_GB2312" w:cs="仿宋_GB2312"/>
          <w:b w:val="0"/>
          <w:bCs w:val="0"/>
          <w:snapToGrid w:val="0"/>
          <w:color w:val="000000"/>
          <w:kern w:val="0"/>
          <w:sz w:val="30"/>
          <w:szCs w:val="30"/>
          <w:highlight w:val="none"/>
          <w:lang w:val="en-US" w:eastAsia="zh-CN"/>
        </w:rPr>
        <w:t>，在每年反邪教宣传周开展七进活动不少于三次。</w:t>
      </w:r>
      <w:r>
        <w:rPr>
          <w:rFonts w:hint="eastAsia" w:ascii="Times New Roman" w:hAnsi="Times New Roman" w:eastAsia="仿宋_GB2312" w:cs="仿宋_GB2312"/>
          <w:b w:val="0"/>
          <w:bCs w:val="0"/>
          <w:snapToGrid w:val="0"/>
          <w:color w:val="000000"/>
          <w:kern w:val="0"/>
          <w:sz w:val="30"/>
          <w:szCs w:val="30"/>
          <w:highlight w:val="none"/>
          <w:lang w:val="en-US" w:eastAsia="zh-CN"/>
        </w:rPr>
        <w:t>利用各种形式，通过各种渠道，开展发放宣传资料，举办知识咨询，图片展览、知识竞赛等宣传教育活动。协助司法所开展交通疏导志愿活动服务。</w:t>
      </w:r>
    </w:p>
    <w:p>
      <w:pPr>
        <w:widowControl/>
        <w:numPr>
          <w:ilvl w:val="0"/>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5.量化指标</w:t>
      </w:r>
    </w:p>
    <w:p>
      <w:pPr>
        <w:spacing w:line="360" w:lineRule="auto"/>
        <w:jc w:val="center"/>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表2：社矫安帮服务时数指标量化表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948"/>
        <w:gridCol w:w="1783"/>
        <w:gridCol w:w="3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指标编号</w:t>
            </w:r>
          </w:p>
        </w:tc>
        <w:tc>
          <w:tcPr>
            <w:tcW w:w="1143"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指标内容</w:t>
            </w:r>
          </w:p>
        </w:tc>
        <w:tc>
          <w:tcPr>
            <w:tcW w:w="1046"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指标数量</w:t>
            </w:r>
          </w:p>
        </w:tc>
        <w:tc>
          <w:tcPr>
            <w:tcW w:w="191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指标备注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bCs/>
                <w:color w:val="000000"/>
                <w:szCs w:val="21"/>
                <w:highlight w:val="none"/>
                <w:lang w:val="en-US" w:eastAsia="zh-CN"/>
              </w:rPr>
              <w:t>专业服务占服务时数75%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w:t>
            </w:r>
          </w:p>
        </w:tc>
        <w:tc>
          <w:tcPr>
            <w:tcW w:w="1143"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建立档案</w:t>
            </w:r>
          </w:p>
        </w:tc>
        <w:tc>
          <w:tcPr>
            <w:tcW w:w="1046"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100%</w:t>
            </w:r>
          </w:p>
        </w:tc>
        <w:tc>
          <w:tcPr>
            <w:tcW w:w="191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社区矫正对象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2</w:t>
            </w:r>
          </w:p>
        </w:tc>
        <w:tc>
          <w:tcPr>
            <w:tcW w:w="1143"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访谈评估</w:t>
            </w:r>
          </w:p>
        </w:tc>
        <w:tc>
          <w:tcPr>
            <w:tcW w:w="1046"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按照实际需要开展</w:t>
            </w:r>
          </w:p>
        </w:tc>
        <w:tc>
          <w:tcPr>
            <w:tcW w:w="191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针对社区矫正对象及安置帮教人员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3</w:t>
            </w:r>
          </w:p>
        </w:tc>
        <w:tc>
          <w:tcPr>
            <w:tcW w:w="1143"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社区公益活动</w:t>
            </w:r>
          </w:p>
        </w:tc>
        <w:tc>
          <w:tcPr>
            <w:tcW w:w="1046"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1次/月</w:t>
            </w:r>
          </w:p>
        </w:tc>
        <w:tc>
          <w:tcPr>
            <w:tcW w:w="191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在册社区矫正对象每人每月不少于1次社区公益活动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4</w:t>
            </w:r>
          </w:p>
        </w:tc>
        <w:tc>
          <w:tcPr>
            <w:tcW w:w="1143"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集体教育</w:t>
            </w:r>
          </w:p>
        </w:tc>
        <w:tc>
          <w:tcPr>
            <w:tcW w:w="1046"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1次/月</w:t>
            </w:r>
          </w:p>
        </w:tc>
        <w:tc>
          <w:tcPr>
            <w:tcW w:w="191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在册社区矫正对象每人每月不少于1次集体学习活动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5</w:t>
            </w:r>
          </w:p>
        </w:tc>
        <w:tc>
          <w:tcPr>
            <w:tcW w:w="1143"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实地查访</w:t>
            </w:r>
          </w:p>
        </w:tc>
        <w:tc>
          <w:tcPr>
            <w:tcW w:w="1046"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按照规定开展</w:t>
            </w:r>
          </w:p>
        </w:tc>
        <w:tc>
          <w:tcPr>
            <w:tcW w:w="191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针对社区矫正对象及安置帮教人员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6</w:t>
            </w:r>
          </w:p>
        </w:tc>
        <w:tc>
          <w:tcPr>
            <w:tcW w:w="1143"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志愿者服务培训及总结</w:t>
            </w:r>
          </w:p>
        </w:tc>
        <w:tc>
          <w:tcPr>
            <w:tcW w:w="1046"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1次/月</w:t>
            </w:r>
          </w:p>
        </w:tc>
        <w:tc>
          <w:tcPr>
            <w:tcW w:w="191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每场30-50人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7</w:t>
            </w:r>
          </w:p>
        </w:tc>
        <w:tc>
          <w:tcPr>
            <w:tcW w:w="1143"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法制宣传、扫黑除恶宣传</w:t>
            </w:r>
          </w:p>
        </w:tc>
        <w:tc>
          <w:tcPr>
            <w:tcW w:w="1046"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每个专项宣传至少</w:t>
            </w:r>
            <w:r>
              <w:rPr>
                <w:rFonts w:hint="eastAsia" w:ascii="宋体" w:hAnsi="宋体" w:cs="宋体"/>
                <w:b w:val="0"/>
                <w:bCs w:val="0"/>
                <w:color w:val="000000"/>
                <w:szCs w:val="21"/>
                <w:highlight w:val="none"/>
                <w:lang w:val="en-US" w:eastAsia="zh-CN"/>
              </w:rPr>
              <w:t>1</w:t>
            </w:r>
            <w:r>
              <w:rPr>
                <w:rFonts w:hint="eastAsia" w:ascii="宋体" w:hAnsi="宋体" w:eastAsia="宋体" w:cs="宋体"/>
                <w:b w:val="0"/>
                <w:bCs w:val="0"/>
                <w:color w:val="000000"/>
                <w:szCs w:val="21"/>
                <w:highlight w:val="none"/>
                <w:lang w:val="en-US" w:eastAsia="zh-CN"/>
              </w:rPr>
              <w:t>次/月</w:t>
            </w:r>
          </w:p>
        </w:tc>
        <w:tc>
          <w:tcPr>
            <w:tcW w:w="191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进学校、进村（社区）、进企业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default"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8</w:t>
            </w:r>
          </w:p>
        </w:tc>
        <w:tc>
          <w:tcPr>
            <w:tcW w:w="1143"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default"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反邪教</w:t>
            </w:r>
            <w:r>
              <w:rPr>
                <w:rFonts w:hint="eastAsia" w:ascii="宋体" w:hAnsi="宋体" w:cs="宋体"/>
                <w:b w:val="0"/>
                <w:bCs w:val="0"/>
                <w:color w:val="000000"/>
                <w:szCs w:val="21"/>
                <w:highlight w:val="none"/>
                <w:lang w:val="en-US" w:eastAsia="zh-CN"/>
              </w:rPr>
              <w:t>警示教育宣传</w:t>
            </w:r>
          </w:p>
        </w:tc>
        <w:tc>
          <w:tcPr>
            <w:tcW w:w="1046"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default"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每月至少2</w:t>
            </w:r>
            <w:r>
              <w:rPr>
                <w:rFonts w:hint="eastAsia" w:ascii="宋体" w:hAnsi="宋体" w:eastAsia="宋体" w:cs="宋体"/>
                <w:b w:val="0"/>
                <w:bCs w:val="0"/>
                <w:color w:val="000000"/>
                <w:szCs w:val="21"/>
                <w:highlight w:val="none"/>
                <w:lang w:val="en-US" w:eastAsia="zh-CN"/>
              </w:rPr>
              <w:t>次/月</w:t>
            </w:r>
          </w:p>
        </w:tc>
        <w:tc>
          <w:tcPr>
            <w:tcW w:w="191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进学校、进村（社区）、进企业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9</w:t>
            </w:r>
          </w:p>
        </w:tc>
        <w:tc>
          <w:tcPr>
            <w:tcW w:w="1143"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就业帮扶</w:t>
            </w:r>
          </w:p>
        </w:tc>
        <w:tc>
          <w:tcPr>
            <w:tcW w:w="1046"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按照实际需求开展</w:t>
            </w:r>
          </w:p>
        </w:tc>
        <w:tc>
          <w:tcPr>
            <w:tcW w:w="191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针对社区矫正对象及安置帮教人员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default"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10</w:t>
            </w:r>
          </w:p>
        </w:tc>
        <w:tc>
          <w:tcPr>
            <w:tcW w:w="1143"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个别心理访谈</w:t>
            </w:r>
          </w:p>
        </w:tc>
        <w:tc>
          <w:tcPr>
            <w:tcW w:w="1046"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按照实际需要开展</w:t>
            </w:r>
          </w:p>
        </w:tc>
        <w:tc>
          <w:tcPr>
            <w:tcW w:w="191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针对社区矫正对象及家属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w:t>
            </w:r>
            <w:r>
              <w:rPr>
                <w:rFonts w:hint="eastAsia" w:ascii="宋体" w:hAnsi="宋体" w:cs="宋体"/>
                <w:b w:val="0"/>
                <w:bCs w:val="0"/>
                <w:color w:val="000000"/>
                <w:szCs w:val="21"/>
                <w:highlight w:val="none"/>
                <w:lang w:val="en-US" w:eastAsia="zh-CN"/>
              </w:rPr>
              <w:t>1</w:t>
            </w:r>
          </w:p>
        </w:tc>
        <w:tc>
          <w:tcPr>
            <w:tcW w:w="1143"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其他服务（满足不同服务对象需求的服务）</w:t>
            </w:r>
          </w:p>
        </w:tc>
        <w:tc>
          <w:tcPr>
            <w:tcW w:w="1046"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按照实际需要开展</w:t>
            </w:r>
          </w:p>
        </w:tc>
        <w:tc>
          <w:tcPr>
            <w:tcW w:w="191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bCs/>
                <w:color w:val="000000"/>
                <w:szCs w:val="21"/>
                <w:highlight w:val="none"/>
                <w:lang w:val="en-US" w:eastAsia="zh-CN"/>
              </w:rPr>
              <w:t>服务发展占服务时数15%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w:t>
            </w:r>
            <w:r>
              <w:rPr>
                <w:rFonts w:hint="eastAsia" w:ascii="宋体" w:hAnsi="宋体" w:cs="宋体"/>
                <w:b w:val="0"/>
                <w:bCs w:val="0"/>
                <w:color w:val="000000"/>
                <w:szCs w:val="21"/>
                <w:highlight w:val="none"/>
                <w:lang w:val="en-US" w:eastAsia="zh-CN"/>
              </w:rPr>
              <w:t>2</w:t>
            </w:r>
          </w:p>
        </w:tc>
        <w:tc>
          <w:tcPr>
            <w:tcW w:w="1143"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督导</w:t>
            </w:r>
          </w:p>
        </w:tc>
        <w:tc>
          <w:tcPr>
            <w:tcW w:w="1046"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12</w:t>
            </w:r>
            <w:r>
              <w:rPr>
                <w:rFonts w:hint="eastAsia" w:ascii="宋体" w:hAnsi="宋体" w:eastAsia="宋体" w:cs="宋体"/>
                <w:b w:val="0"/>
                <w:bCs w:val="0"/>
                <w:color w:val="000000"/>
                <w:szCs w:val="21"/>
                <w:highlight w:val="none"/>
                <w:lang w:val="en-US" w:eastAsia="zh-CN"/>
              </w:rPr>
              <w:t>次</w:t>
            </w:r>
          </w:p>
        </w:tc>
        <w:tc>
          <w:tcPr>
            <w:tcW w:w="191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每季度1次；</w:t>
            </w:r>
            <w:r>
              <w:rPr>
                <w:rFonts w:hint="eastAsia" w:ascii="宋体" w:hAnsi="宋体" w:cs="宋体"/>
                <w:b w:val="0"/>
                <w:bCs w:val="0"/>
                <w:color w:val="000000"/>
                <w:szCs w:val="21"/>
                <w:highlight w:val="none"/>
                <w:lang w:val="en-US" w:eastAsia="zh-CN"/>
              </w:rPr>
              <w:t>每</w:t>
            </w:r>
            <w:r>
              <w:rPr>
                <w:rFonts w:hint="eastAsia" w:ascii="宋体" w:hAnsi="宋体" w:eastAsia="宋体" w:cs="宋体"/>
                <w:b w:val="0"/>
                <w:bCs w:val="0"/>
                <w:color w:val="000000"/>
                <w:szCs w:val="21"/>
                <w:highlight w:val="none"/>
                <w:lang w:val="en-US" w:eastAsia="zh-CN"/>
              </w:rPr>
              <w:t>年4次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w:t>
            </w:r>
            <w:r>
              <w:rPr>
                <w:rFonts w:hint="eastAsia" w:ascii="宋体" w:hAnsi="宋体" w:cs="宋体"/>
                <w:b w:val="0"/>
                <w:bCs w:val="0"/>
                <w:color w:val="000000"/>
                <w:szCs w:val="21"/>
                <w:highlight w:val="none"/>
                <w:lang w:val="en-US" w:eastAsia="zh-CN"/>
              </w:rPr>
              <w:t>3</w:t>
            </w:r>
          </w:p>
        </w:tc>
        <w:tc>
          <w:tcPr>
            <w:tcW w:w="1143"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培训、交流学习</w:t>
            </w:r>
          </w:p>
        </w:tc>
        <w:tc>
          <w:tcPr>
            <w:tcW w:w="1046"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12</w:t>
            </w:r>
            <w:r>
              <w:rPr>
                <w:rFonts w:hint="eastAsia" w:ascii="宋体" w:hAnsi="宋体" w:eastAsia="宋体" w:cs="宋体"/>
                <w:b w:val="0"/>
                <w:bCs w:val="0"/>
                <w:color w:val="000000"/>
                <w:szCs w:val="21"/>
                <w:highlight w:val="none"/>
                <w:lang w:val="en-US" w:eastAsia="zh-CN"/>
              </w:rPr>
              <w:t>次</w:t>
            </w:r>
          </w:p>
        </w:tc>
        <w:tc>
          <w:tcPr>
            <w:tcW w:w="191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每季度1次；</w:t>
            </w:r>
            <w:r>
              <w:rPr>
                <w:rFonts w:hint="eastAsia" w:ascii="宋体" w:hAnsi="宋体" w:cs="宋体"/>
                <w:b w:val="0"/>
                <w:bCs w:val="0"/>
                <w:color w:val="000000"/>
                <w:szCs w:val="21"/>
                <w:highlight w:val="none"/>
                <w:lang w:val="en-US" w:eastAsia="zh-CN"/>
              </w:rPr>
              <w:t>每</w:t>
            </w:r>
            <w:r>
              <w:rPr>
                <w:rFonts w:hint="eastAsia" w:ascii="宋体" w:hAnsi="宋体" w:eastAsia="宋体" w:cs="宋体"/>
                <w:b w:val="0"/>
                <w:bCs w:val="0"/>
                <w:color w:val="000000"/>
                <w:szCs w:val="21"/>
                <w:highlight w:val="none"/>
                <w:lang w:val="en-US" w:eastAsia="zh-CN"/>
              </w:rPr>
              <w:t>年4次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bCs/>
                <w:color w:val="000000"/>
                <w:szCs w:val="21"/>
                <w:highlight w:val="none"/>
                <w:lang w:val="en-US" w:eastAsia="zh-CN"/>
              </w:rPr>
              <w:t>行政管理占服务时数10%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w:t>
            </w:r>
            <w:r>
              <w:rPr>
                <w:rFonts w:hint="eastAsia" w:ascii="宋体" w:hAnsi="宋体" w:cs="宋体"/>
                <w:b w:val="0"/>
                <w:bCs w:val="0"/>
                <w:color w:val="000000"/>
                <w:szCs w:val="21"/>
                <w:highlight w:val="none"/>
                <w:lang w:val="en-US" w:eastAsia="zh-CN"/>
              </w:rPr>
              <w:t>4</w:t>
            </w:r>
          </w:p>
        </w:tc>
        <w:tc>
          <w:tcPr>
            <w:tcW w:w="1143"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总结汇报</w:t>
            </w:r>
          </w:p>
        </w:tc>
        <w:tc>
          <w:tcPr>
            <w:tcW w:w="1046"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42</w:t>
            </w:r>
            <w:r>
              <w:rPr>
                <w:rFonts w:hint="eastAsia" w:ascii="宋体" w:hAnsi="宋体" w:eastAsia="宋体" w:cs="宋体"/>
                <w:b w:val="0"/>
                <w:bCs w:val="0"/>
                <w:color w:val="000000"/>
                <w:szCs w:val="21"/>
                <w:highlight w:val="none"/>
                <w:lang w:val="en-US" w:eastAsia="zh-CN"/>
              </w:rPr>
              <w:t>次</w:t>
            </w:r>
          </w:p>
        </w:tc>
        <w:tc>
          <w:tcPr>
            <w:tcW w:w="1915" w:type="pct"/>
            <w:tcBorders>
              <w:top w:val="single" w:color="auto" w:sz="4" w:space="0"/>
              <w:left w:val="single" w:color="auto" w:sz="4" w:space="0"/>
              <w:bottom w:val="single" w:color="auto" w:sz="4" w:space="0"/>
              <w:right w:val="single" w:color="auto" w:sz="4" w:space="0"/>
            </w:tcBorders>
            <w:noWrap w:val="0"/>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每月</w:t>
            </w:r>
            <w:r>
              <w:rPr>
                <w:rFonts w:hint="eastAsia" w:ascii="宋体" w:hAnsi="宋体" w:cs="宋体"/>
                <w:b w:val="0"/>
                <w:bCs w:val="0"/>
                <w:color w:val="000000"/>
                <w:szCs w:val="21"/>
                <w:highlight w:val="none"/>
                <w:lang w:val="en-US" w:eastAsia="zh-CN"/>
              </w:rPr>
              <w:t>1</w:t>
            </w:r>
            <w:r>
              <w:rPr>
                <w:rFonts w:hint="eastAsia" w:ascii="宋体" w:hAnsi="宋体" w:eastAsia="宋体" w:cs="宋体"/>
                <w:b w:val="0"/>
                <w:bCs w:val="0"/>
                <w:color w:val="000000"/>
                <w:szCs w:val="21"/>
                <w:highlight w:val="none"/>
                <w:lang w:val="en-US" w:eastAsia="zh-CN"/>
              </w:rPr>
              <w:t>次、半年度</w:t>
            </w:r>
            <w:r>
              <w:rPr>
                <w:rFonts w:hint="eastAsia" w:ascii="宋体" w:hAnsi="宋体" w:cs="宋体"/>
                <w:b w:val="0"/>
                <w:bCs w:val="0"/>
                <w:color w:val="000000"/>
                <w:szCs w:val="21"/>
                <w:highlight w:val="none"/>
                <w:lang w:val="en-US" w:eastAsia="zh-CN"/>
              </w:rPr>
              <w:t>1</w:t>
            </w:r>
            <w:r>
              <w:rPr>
                <w:rFonts w:hint="eastAsia" w:ascii="宋体" w:hAnsi="宋体" w:eastAsia="宋体" w:cs="宋体"/>
                <w:b w:val="0"/>
                <w:bCs w:val="0"/>
                <w:color w:val="000000"/>
                <w:szCs w:val="21"/>
                <w:highlight w:val="none"/>
                <w:lang w:val="en-US" w:eastAsia="zh-CN"/>
              </w:rPr>
              <w:t>次、全年度</w:t>
            </w:r>
            <w:r>
              <w:rPr>
                <w:rFonts w:hint="eastAsia" w:ascii="宋体" w:hAnsi="宋体" w:cs="宋体"/>
                <w:b w:val="0"/>
                <w:bCs w:val="0"/>
                <w:color w:val="000000"/>
                <w:szCs w:val="21"/>
                <w:highlight w:val="none"/>
                <w:lang w:val="en-US" w:eastAsia="zh-CN"/>
              </w:rPr>
              <w:t>1</w:t>
            </w:r>
            <w:r>
              <w:rPr>
                <w:rFonts w:hint="eastAsia" w:ascii="宋体" w:hAnsi="宋体" w:eastAsia="宋体" w:cs="宋体"/>
                <w:b w:val="0"/>
                <w:bCs w:val="0"/>
                <w:color w:val="000000"/>
                <w:szCs w:val="21"/>
                <w:highlight w:val="none"/>
                <w:lang w:val="en-US" w:eastAsia="zh-CN"/>
              </w:rPr>
              <w:t>次</w:t>
            </w:r>
          </w:p>
        </w:tc>
      </w:tr>
    </w:tbl>
    <w:p>
      <w:pPr>
        <w:rPr>
          <w:rFonts w:hint="eastAsia"/>
          <w:highlight w:val="none"/>
          <w:lang w:val="en-US" w:eastAsia="zh-CN"/>
        </w:rPr>
      </w:pPr>
    </w:p>
    <w:p>
      <w:pPr>
        <w:pStyle w:val="10"/>
        <w:spacing w:line="360" w:lineRule="auto"/>
        <w:ind w:left="0" w:leftChars="0"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八、其他要求</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（一）工作不力或不称职的</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，采购人有权提请成交供应商变更其工作岗位或更换其他适合人选，一年中更换次数不超3次，采购人不需承担违约责任。</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（二）采购人有权对不履行合同或违反采购人管理规定的</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提出警告或有权要求成交供应商将其调离采购人的工作场地。</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（三）成交供应商指派的</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与成交供应商建立劳动关系，与采购人不存在劳动关系。如成交供应商与其</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发生劳资纠纷，均由成交供应商承担法律责任及赔偿责任。如发生伤亡事故、财产损失及其他安全事故，成交供应商应立即通知采购人，同时，成交供应商应尽力采取措施防止、减少损失，并承担一切责任。如成交供应商因此造成采购人或受害方损失的，成交供应商还应赔偿采购人及受害方因此遭受的一切损失（包括但不限于索赔、损失、律师费、行政处罚、采取补救措施的费用等）。</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（四）成交供应商在项目完成后，应将项目档案资料交接给下一任承接单位。</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（五）采购人、成交供应商任何一方，因客观原因需要提前解除协议，必须提前一个月内书面通知对方，并取得对方同意方可解除协议，否则按两个月劳务管理服务费总额赔偿给对方。</w:t>
      </w:r>
      <w:bookmarkStart w:id="4" w:name="_Toc15964"/>
    </w:p>
    <w:bookmarkEnd w:id="4"/>
    <w:p>
      <w:pPr>
        <w:widowControl/>
        <w:numPr>
          <w:ilvl w:val="0"/>
          <w:numId w:val="0"/>
        </w:numPr>
        <w:spacing w:line="240" w:lineRule="auto"/>
        <w:ind w:left="0" w:leftChars="0" w:firstLine="600" w:firstLineChars="20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（六）成交供应商出现财务造假等违法犯罪行为的，采购人有权取消其成交资格</w:t>
      </w:r>
      <w:r>
        <w:rPr>
          <w:rFonts w:hint="eastAsia" w:eastAsia="仿宋_GB2312" w:cs="仿宋_GB2312"/>
          <w:snapToGrid w:val="0"/>
          <w:color w:val="000000"/>
          <w:kern w:val="0"/>
          <w:sz w:val="30"/>
          <w:szCs w:val="30"/>
          <w:highlight w:val="none"/>
          <w:lang w:val="en-US" w:eastAsia="zh-CN"/>
        </w:rPr>
        <w:t>及</w:t>
      </w:r>
      <w:r>
        <w:rPr>
          <w:rFonts w:hint="eastAsia" w:ascii="Times New Roman" w:hAnsi="Times New Roman" w:eastAsia="仿宋_GB2312" w:cs="仿宋_GB2312"/>
          <w:snapToGrid w:val="0"/>
          <w:color w:val="000000"/>
          <w:kern w:val="0"/>
          <w:sz w:val="30"/>
          <w:szCs w:val="30"/>
          <w:highlight w:val="none"/>
          <w:lang w:val="en-US" w:eastAsia="zh-CN"/>
        </w:rPr>
        <w:t>终止合同。如成交供应商因此造成采购人或受害方损失的，成交供应商还应赔偿采购人及受害方因此遭受的一切损失（包括但不限于索赔、损失、律师费、行政处罚、采取补救措施的费用等）。</w:t>
      </w:r>
    </w:p>
    <w:p>
      <w:pPr>
        <w:rPr>
          <w:rFonts w:hint="eastAsia"/>
          <w:highlight w:val="none"/>
          <w:lang w:val="en-US" w:eastAsia="zh-CN"/>
        </w:rPr>
      </w:pPr>
    </w:p>
    <w:p>
      <w:pPr>
        <w:pStyle w:val="10"/>
        <w:spacing w:line="360" w:lineRule="auto"/>
        <w:ind w:left="0" w:leftChars="0" w:firstLine="0" w:firstLineChars="0"/>
        <w:rPr>
          <w:rFonts w:hint="eastAsia" w:ascii="黑体" w:hAnsi="黑体" w:eastAsia="黑体" w:cs="黑体"/>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九、评估方案</w:t>
      </w:r>
    </w:p>
    <w:p>
      <w:pPr>
        <w:widowControl/>
        <w:numPr>
          <w:ilvl w:val="0"/>
          <w:numId w:val="0"/>
        </w:numPr>
        <w:spacing w:line="240" w:lineRule="auto"/>
        <w:ind w:left="0" w:leftChars="0" w:firstLine="600" w:firstLineChars="20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eastAsia="仿宋_GB2312" w:cs="仿宋_GB2312"/>
          <w:snapToGrid w:val="0"/>
          <w:color w:val="000000"/>
          <w:kern w:val="0"/>
          <w:sz w:val="30"/>
          <w:szCs w:val="30"/>
          <w:highlight w:val="none"/>
          <w:lang w:val="en-US" w:eastAsia="zh-CN"/>
        </w:rPr>
        <w:t>参照</w:t>
      </w:r>
      <w:r>
        <w:rPr>
          <w:rFonts w:hint="eastAsia" w:ascii="Times New Roman" w:hAnsi="Times New Roman" w:eastAsia="仿宋_GB2312" w:cs="仿宋_GB2312"/>
          <w:snapToGrid w:val="0"/>
          <w:color w:val="000000"/>
          <w:kern w:val="0"/>
          <w:sz w:val="30"/>
          <w:szCs w:val="30"/>
          <w:highlight w:val="none"/>
          <w:lang w:val="en-US" w:eastAsia="zh-CN"/>
        </w:rPr>
        <w:t>国家禁毒委《全国社区戒毒社区康复工作规划（2016-2020）》、《广东省年度禁毒工作计划》、《社区戒毒社区康复社会工作服务规范》以及本项目设定的指标进行评估。</w:t>
      </w:r>
    </w:p>
    <w:p>
      <w:pPr>
        <w:widowControl/>
        <w:numPr>
          <w:ilvl w:val="0"/>
          <w:numId w:val="0"/>
        </w:numPr>
        <w:spacing w:line="240" w:lineRule="auto"/>
        <w:ind w:firstLine="600" w:firstLineChars="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（一）评估结果采用百分制。本项目的综合评估结果分为5个等级，详见表3《年度评估标准表》。</w:t>
      </w:r>
    </w:p>
    <w:p>
      <w:pPr>
        <w:widowControl/>
        <w:numPr>
          <w:ilvl w:val="0"/>
          <w:numId w:val="0"/>
        </w:numPr>
        <w:spacing w:line="240" w:lineRule="auto"/>
        <w:ind w:firstLine="600" w:firstLineChars="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（二）采购人在支付第二期、第三期和第四期的服务费时，若</w:t>
      </w:r>
      <w:r>
        <w:rPr>
          <w:rFonts w:hint="eastAsia" w:eastAsia="仿宋_GB2312" w:cs="仿宋_GB2312"/>
          <w:snapToGrid w:val="0"/>
          <w:color w:val="000000"/>
          <w:kern w:val="0"/>
          <w:sz w:val="30"/>
          <w:szCs w:val="30"/>
          <w:highlight w:val="none"/>
          <w:lang w:val="en-US" w:eastAsia="zh-CN"/>
        </w:rPr>
        <w:t>成交供应商</w:t>
      </w:r>
      <w:r>
        <w:rPr>
          <w:rFonts w:hint="eastAsia" w:ascii="Times New Roman" w:hAnsi="Times New Roman" w:eastAsia="仿宋_GB2312" w:cs="仿宋_GB2312"/>
          <w:snapToGrid w:val="0"/>
          <w:color w:val="000000"/>
          <w:kern w:val="0"/>
          <w:sz w:val="30"/>
          <w:szCs w:val="30"/>
          <w:highlight w:val="none"/>
          <w:lang w:val="en-US" w:eastAsia="zh-CN"/>
        </w:rPr>
        <w:t>当年年度评估未获得良好或优秀将扣除相应款项，其中：</w:t>
      </w:r>
    </w:p>
    <w:p>
      <w:pPr>
        <w:widowControl/>
        <w:numPr>
          <w:ilvl w:val="0"/>
          <w:numId w:val="0"/>
        </w:numPr>
        <w:spacing w:line="240" w:lineRule="auto"/>
        <w:ind w:firstLine="600" w:firstLineChars="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①当年年度评估获得良好或优秀，采购人支付合同总额的25%；</w:t>
      </w:r>
    </w:p>
    <w:p>
      <w:pPr>
        <w:widowControl/>
        <w:numPr>
          <w:ilvl w:val="0"/>
          <w:numId w:val="0"/>
        </w:numPr>
        <w:spacing w:line="240" w:lineRule="auto"/>
        <w:ind w:firstLine="600" w:firstLineChars="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②当年年度评估获得合格，采购人支付合同总额的24.5%；</w:t>
      </w:r>
    </w:p>
    <w:p>
      <w:pPr>
        <w:widowControl/>
        <w:numPr>
          <w:ilvl w:val="0"/>
          <w:numId w:val="0"/>
        </w:numPr>
        <w:spacing w:line="240" w:lineRule="auto"/>
        <w:ind w:firstLine="600" w:firstLineChars="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③当年年度评估获得基本合格，采购人支付合同总额的24%；</w:t>
      </w:r>
    </w:p>
    <w:p>
      <w:pPr>
        <w:widowControl/>
        <w:numPr>
          <w:ilvl w:val="0"/>
          <w:numId w:val="0"/>
        </w:numPr>
        <w:spacing w:line="240" w:lineRule="auto"/>
        <w:ind w:firstLine="600" w:firstLineChars="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④当年年度评估获得不合格，采购人支付合同总额的23.5%。</w:t>
      </w:r>
    </w:p>
    <w:p>
      <w:pPr>
        <w:widowControl/>
        <w:numPr>
          <w:ilvl w:val="0"/>
          <w:numId w:val="0"/>
        </w:numPr>
        <w:spacing w:line="240" w:lineRule="auto"/>
        <w:ind w:firstLine="600" w:firstLineChars="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（三）由于成交供应商原因导致服务指标任务未完成或被评估为不合格的，成交供应商应进行整改，两次整改仍不到位的，采购人有权取消其成交资格</w:t>
      </w:r>
      <w:r>
        <w:rPr>
          <w:rFonts w:hint="eastAsia" w:eastAsia="仿宋_GB2312" w:cs="仿宋_GB2312"/>
          <w:snapToGrid w:val="0"/>
          <w:color w:val="000000"/>
          <w:kern w:val="0"/>
          <w:sz w:val="30"/>
          <w:szCs w:val="30"/>
          <w:highlight w:val="none"/>
          <w:lang w:val="en-US" w:eastAsia="zh-CN"/>
        </w:rPr>
        <w:t>及</w:t>
      </w:r>
      <w:r>
        <w:rPr>
          <w:rFonts w:hint="eastAsia" w:ascii="Times New Roman" w:hAnsi="Times New Roman" w:eastAsia="仿宋_GB2312" w:cs="仿宋_GB2312"/>
          <w:snapToGrid w:val="0"/>
          <w:color w:val="000000"/>
          <w:kern w:val="0"/>
          <w:sz w:val="30"/>
          <w:szCs w:val="30"/>
          <w:highlight w:val="none"/>
          <w:lang w:val="en-US" w:eastAsia="zh-CN"/>
        </w:rPr>
        <w:t>终止合同。</w:t>
      </w:r>
    </w:p>
    <w:p>
      <w:pPr>
        <w:widowControl/>
        <w:numPr>
          <w:ilvl w:val="0"/>
          <w:numId w:val="0"/>
        </w:numPr>
        <w:spacing w:line="240" w:lineRule="auto"/>
        <w:ind w:firstLine="600" w:firstLineChars="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四）本项目运作所产出的有关管理制度和规范、服务档案和资料（包括服务对象档案、服务计划、方案、台账、调研报告、评估材料等）等有关材料归采购人所有，成交供应商须在合同服务期满后十个工作日内移交给采购人。成交供应商未经同意不得擅自销毁、复制或取走。项目人员不得将项目的相关资料包括但不限于服务对象档案、服务计划、方案、台账、调研报告、评估材料等信息透露给第三方。成交供应商违反上述规定的，扣减合同总额的2%。</w:t>
      </w:r>
    </w:p>
    <w:p>
      <w:pPr>
        <w:pStyle w:val="10"/>
        <w:spacing w:line="360" w:lineRule="auto"/>
        <w:ind w:left="0" w:leftChars="0" w:firstLine="0" w:firstLineChars="0"/>
        <w:jc w:val="center"/>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表3：</w:t>
      </w:r>
      <w:r>
        <w:rPr>
          <w:rFonts w:hint="eastAsia" w:ascii="宋体" w:hAnsi="宋体" w:cs="宋体"/>
          <w:b/>
          <w:bCs/>
          <w:color w:val="000000"/>
          <w:szCs w:val="21"/>
          <w:highlight w:val="none"/>
          <w:lang w:val="en-US" w:eastAsia="zh-CN"/>
        </w:rPr>
        <w:t>年度</w:t>
      </w:r>
      <w:r>
        <w:rPr>
          <w:rFonts w:hint="eastAsia" w:ascii="宋体" w:hAnsi="宋体" w:eastAsia="宋体" w:cs="宋体"/>
          <w:b/>
          <w:bCs/>
          <w:color w:val="000000"/>
          <w:szCs w:val="21"/>
          <w:highlight w:val="none"/>
          <w:lang w:val="en-US" w:eastAsia="zh-CN"/>
        </w:rPr>
        <w:t>评估标准表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045"/>
        <w:gridCol w:w="3045"/>
        <w:gridCol w:w="827"/>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tabs>
                <w:tab w:val="left" w:pos="540"/>
                <w:tab w:val="left" w:pos="779"/>
              </w:tabs>
              <w:spacing w:line="360" w:lineRule="auto"/>
              <w:contextualSpacing/>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评估</w:t>
            </w:r>
            <w:r>
              <w:rPr>
                <w:rFonts w:hint="eastAsia" w:ascii="宋体" w:hAnsi="宋体" w:cs="宋体"/>
                <w:b/>
                <w:bCs/>
                <w:color w:val="auto"/>
                <w:szCs w:val="21"/>
                <w:highlight w:val="none"/>
                <w:lang w:eastAsia="zh-CN"/>
              </w:rPr>
              <w:t>项目</w:t>
            </w:r>
          </w:p>
        </w:tc>
        <w:tc>
          <w:tcPr>
            <w:tcW w:w="3045" w:type="dxa"/>
            <w:vAlign w:val="center"/>
          </w:tcPr>
          <w:p>
            <w:pPr>
              <w:tabs>
                <w:tab w:val="left" w:pos="540"/>
                <w:tab w:val="left" w:pos="779"/>
              </w:tabs>
              <w:spacing w:line="360" w:lineRule="auto"/>
              <w:ind w:firstLine="422" w:firstLineChars="200"/>
              <w:contextualSpacing/>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项目分类</w:t>
            </w:r>
          </w:p>
        </w:tc>
        <w:tc>
          <w:tcPr>
            <w:tcW w:w="3045" w:type="dxa"/>
            <w:vAlign w:val="center"/>
          </w:tcPr>
          <w:p>
            <w:pPr>
              <w:tabs>
                <w:tab w:val="left" w:pos="540"/>
                <w:tab w:val="left" w:pos="779"/>
              </w:tabs>
              <w:spacing w:line="360" w:lineRule="auto"/>
              <w:ind w:firstLine="422" w:firstLineChars="200"/>
              <w:contextualSpacing/>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Cs w:val="21"/>
                <w:highlight w:val="none"/>
                <w:lang w:eastAsia="zh-CN"/>
              </w:rPr>
              <w:t>评估</w:t>
            </w:r>
            <w:r>
              <w:rPr>
                <w:rFonts w:hint="eastAsia" w:ascii="宋体" w:hAnsi="宋体" w:eastAsia="宋体" w:cs="宋体"/>
                <w:b/>
                <w:bCs/>
                <w:color w:val="auto"/>
                <w:szCs w:val="21"/>
                <w:highlight w:val="none"/>
              </w:rPr>
              <w:t>指标</w:t>
            </w:r>
          </w:p>
        </w:tc>
        <w:tc>
          <w:tcPr>
            <w:tcW w:w="827" w:type="dxa"/>
            <w:vAlign w:val="center"/>
          </w:tcPr>
          <w:p>
            <w:pPr>
              <w:tabs>
                <w:tab w:val="left" w:pos="540"/>
                <w:tab w:val="left" w:pos="779"/>
              </w:tabs>
              <w:spacing w:line="360" w:lineRule="auto"/>
              <w:contextualSpacing/>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分数</w:t>
            </w:r>
          </w:p>
        </w:tc>
        <w:tc>
          <w:tcPr>
            <w:tcW w:w="819" w:type="dxa"/>
            <w:vAlign w:val="center"/>
          </w:tcPr>
          <w:p>
            <w:pPr>
              <w:tabs>
                <w:tab w:val="left" w:pos="540"/>
                <w:tab w:val="left" w:pos="779"/>
              </w:tabs>
              <w:spacing w:line="360" w:lineRule="auto"/>
              <w:contextualSpacing/>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所占比重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5"/>
            <w:vAlign w:val="center"/>
          </w:tcPr>
          <w:p>
            <w:pPr>
              <w:tabs>
                <w:tab w:val="left" w:pos="540"/>
                <w:tab w:val="left" w:pos="779"/>
              </w:tabs>
              <w:spacing w:line="360" w:lineRule="auto"/>
              <w:contextualSpacing/>
              <w:jc w:val="both"/>
              <w:rPr>
                <w:rFonts w:hint="eastAsia" w:ascii="宋体" w:hAnsi="宋体" w:eastAsia="宋体" w:cs="宋体"/>
                <w:b w:val="0"/>
                <w:bCs w:val="0"/>
                <w:color w:val="auto"/>
                <w:szCs w:val="21"/>
                <w:highlight w:val="none"/>
                <w:lang w:eastAsia="zh-CN"/>
              </w:rPr>
            </w:pPr>
            <w:r>
              <w:rPr>
                <w:rFonts w:hint="eastAsia" w:ascii="宋体" w:hAnsi="宋体" w:cs="宋体"/>
                <w:b/>
                <w:bCs/>
                <w:color w:val="auto"/>
                <w:szCs w:val="21"/>
                <w:highlight w:val="none"/>
                <w:lang w:eastAsia="zh-CN"/>
              </w:rPr>
              <w:t>一、禁毒服务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阳光支援</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计划</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出所无缝对接</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本地关押人员100%对接出所</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3</w:t>
            </w:r>
            <w:r>
              <w:rPr>
                <w:rFonts w:hint="eastAsia" w:ascii="宋体" w:hAnsi="宋体" w:cs="宋体"/>
                <w:b w:val="0"/>
                <w:bCs w:val="0"/>
                <w:color w:val="auto"/>
                <w:szCs w:val="21"/>
                <w:highlight w:val="none"/>
                <w:lang w:val="en-US" w:eastAsia="zh-CN"/>
              </w:rPr>
              <w:t>0</w:t>
            </w:r>
            <w:r>
              <w:rPr>
                <w:rFonts w:hint="eastAsia" w:ascii="宋体" w:hAnsi="宋体" w:eastAsia="宋体" w:cs="宋体"/>
                <w:b w:val="0"/>
                <w:bCs w:val="0"/>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档案建设和完善</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100%建档，</w:t>
            </w:r>
            <w:r>
              <w:rPr>
                <w:rFonts w:hint="eastAsia" w:ascii="宋体" w:hAnsi="宋体" w:eastAsia="宋体" w:cs="宋体"/>
                <w:color w:val="000000"/>
                <w:kern w:val="0"/>
                <w:sz w:val="21"/>
                <w:szCs w:val="21"/>
                <w:highlight w:val="none"/>
                <w:u w:val="none"/>
              </w:rPr>
              <w:t>一人一册</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kern w:val="0"/>
                <w:sz w:val="21"/>
                <w:szCs w:val="21"/>
                <w:highlight w:val="none"/>
              </w:rPr>
              <w:t>社区戒毒、强制隔离戒毒和社区康复的处置率</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100%处置</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社区戒毒、社区康复人员复吸情况</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复吸</w:t>
            </w:r>
            <w:r>
              <w:rPr>
                <w:rFonts w:hint="eastAsia" w:ascii="宋体" w:hAnsi="宋体" w:eastAsia="宋体" w:cs="宋体"/>
                <w:kern w:val="0"/>
                <w:sz w:val="21"/>
                <w:szCs w:val="21"/>
                <w:highlight w:val="none"/>
              </w:rPr>
              <w:t>率不高于20%</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分类分级管控</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100%评级</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互联网+应用录入</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100%信息数据录入</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按规定开展了所内帮教工作</w:t>
            </w:r>
            <w:r>
              <w:rPr>
                <w:rFonts w:hint="eastAsia" w:ascii="宋体" w:hAnsi="宋体" w:cs="宋体"/>
                <w:b w:val="0"/>
                <w:bCs w:val="0"/>
                <w:color w:val="auto"/>
                <w:szCs w:val="21"/>
                <w:highlight w:val="none"/>
                <w:lang w:eastAsia="zh-CN"/>
              </w:rPr>
              <w:t>；尿液、毛发检测；</w:t>
            </w:r>
            <w:r>
              <w:rPr>
                <w:rFonts w:hint="eastAsia" w:ascii="宋体" w:hAnsi="宋体" w:cs="宋体"/>
                <w:b w:val="0"/>
                <w:bCs w:val="0"/>
                <w:color w:val="auto"/>
                <w:szCs w:val="21"/>
                <w:highlight w:val="none"/>
                <w:lang w:val="en-US" w:eastAsia="zh-CN"/>
              </w:rPr>
              <w:t>自愿戒毒转介服务等工作</w:t>
            </w: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根据</w:t>
            </w:r>
            <w:r>
              <w:rPr>
                <w:rFonts w:hint="eastAsia" w:ascii="宋体" w:hAnsi="宋体" w:cs="宋体"/>
                <w:b w:val="0"/>
                <w:bCs w:val="0"/>
                <w:color w:val="auto"/>
                <w:szCs w:val="21"/>
                <w:highlight w:val="none"/>
                <w:lang w:eastAsia="zh-CN"/>
              </w:rPr>
              <w:t>实际</w:t>
            </w:r>
            <w:r>
              <w:rPr>
                <w:rFonts w:hint="eastAsia" w:ascii="宋体" w:hAnsi="宋体" w:eastAsia="宋体" w:cs="宋体"/>
                <w:b w:val="0"/>
                <w:bCs w:val="0"/>
                <w:color w:val="auto"/>
                <w:szCs w:val="21"/>
                <w:highlight w:val="none"/>
              </w:rPr>
              <w:t>需求开展</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“家支援”计划</w:t>
            </w: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家庭辅导</w:t>
            </w: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根据</w:t>
            </w:r>
            <w:r>
              <w:rPr>
                <w:rFonts w:hint="eastAsia" w:ascii="宋体" w:hAnsi="宋体" w:cs="宋体"/>
                <w:b w:val="0"/>
                <w:bCs w:val="0"/>
                <w:color w:val="auto"/>
                <w:szCs w:val="21"/>
                <w:highlight w:val="none"/>
                <w:lang w:eastAsia="zh-CN"/>
              </w:rPr>
              <w:t>实际</w:t>
            </w:r>
            <w:r>
              <w:rPr>
                <w:rFonts w:hint="eastAsia" w:ascii="宋体" w:hAnsi="宋体" w:eastAsia="宋体" w:cs="宋体"/>
                <w:b w:val="0"/>
                <w:bCs w:val="0"/>
                <w:color w:val="auto"/>
                <w:szCs w:val="21"/>
                <w:highlight w:val="none"/>
              </w:rPr>
              <w:t>需求开展</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家庭救助(涉毒致贫致孤)</w:t>
            </w: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每年</w:t>
            </w:r>
            <w:r>
              <w:rPr>
                <w:rFonts w:hint="eastAsia" w:ascii="宋体" w:hAnsi="宋体" w:eastAsia="宋体" w:cs="宋体"/>
                <w:b w:val="0"/>
                <w:bCs w:val="0"/>
                <w:color w:val="auto"/>
                <w:szCs w:val="21"/>
                <w:highlight w:val="none"/>
                <w:lang w:val="en-US" w:eastAsia="zh-CN"/>
              </w:rPr>
              <w:t>2场</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“心支援”</w:t>
            </w:r>
            <w:r>
              <w:rPr>
                <w:rFonts w:hint="eastAsia" w:ascii="宋体" w:hAnsi="宋体" w:cs="宋体"/>
                <w:b w:val="0"/>
                <w:bCs w:val="0"/>
                <w:color w:val="auto"/>
                <w:szCs w:val="21"/>
                <w:highlight w:val="none"/>
                <w:lang w:val="en-US" w:eastAsia="zh-CN"/>
              </w:rPr>
              <w:t>计划</w:t>
            </w: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帮扶服务</w:t>
            </w: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根据实际需求开展</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禁毒志愿队</w:t>
            </w: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队伍规模：</w:t>
            </w:r>
            <w:r>
              <w:rPr>
                <w:rFonts w:hint="eastAsia" w:ascii="宋体" w:hAnsi="宋体" w:cs="宋体"/>
                <w:b w:val="0"/>
                <w:bCs w:val="0"/>
                <w:color w:val="auto"/>
                <w:szCs w:val="21"/>
                <w:highlight w:val="none"/>
                <w:lang w:val="en-US" w:eastAsia="zh-CN"/>
              </w:rPr>
              <w:t>25</w:t>
            </w:r>
            <w:r>
              <w:rPr>
                <w:rFonts w:hint="eastAsia" w:ascii="宋体" w:hAnsi="宋体" w:cs="宋体"/>
                <w:b w:val="0"/>
                <w:bCs w:val="0"/>
                <w:color w:val="auto"/>
                <w:szCs w:val="21"/>
                <w:highlight w:val="none"/>
                <w:lang w:eastAsia="zh-CN"/>
              </w:rPr>
              <w:t>名；</w:t>
            </w:r>
          </w:p>
          <w:p>
            <w:pPr>
              <w:pStyle w:val="10"/>
              <w:ind w:left="0" w:leftChars="0"/>
              <w:jc w:val="center"/>
              <w:rPr>
                <w:rFonts w:hint="eastAsia"/>
                <w:highlight w:val="none"/>
                <w:lang w:val="en-US" w:eastAsia="zh-CN"/>
              </w:rPr>
            </w:pPr>
            <w:r>
              <w:rPr>
                <w:rFonts w:hint="eastAsia"/>
                <w:highlight w:val="none"/>
                <w:lang w:eastAsia="zh-CN"/>
              </w:rPr>
              <w:t>禁毒志愿者培训：每年</w:t>
            </w:r>
            <w:r>
              <w:rPr>
                <w:rFonts w:hint="eastAsia"/>
                <w:highlight w:val="none"/>
                <w:lang w:val="en-US" w:eastAsia="zh-CN"/>
              </w:rPr>
              <w:t>2场；</w:t>
            </w:r>
          </w:p>
          <w:p>
            <w:pPr>
              <w:pStyle w:val="10"/>
              <w:ind w:left="0" w:leftChars="0"/>
              <w:jc w:val="center"/>
              <w:rPr>
                <w:rFonts w:hint="default"/>
                <w:highlight w:val="none"/>
                <w:lang w:val="en-US" w:eastAsia="zh-CN"/>
              </w:rPr>
            </w:pPr>
            <w:r>
              <w:rPr>
                <w:rFonts w:hint="default"/>
                <w:highlight w:val="none"/>
                <w:lang w:val="en-US" w:eastAsia="zh-CN"/>
              </w:rPr>
              <w:t>志愿者管理制度</w:t>
            </w:r>
            <w:r>
              <w:rPr>
                <w:rFonts w:hint="eastAsia"/>
                <w:highlight w:val="none"/>
                <w:lang w:val="en-US" w:eastAsia="zh-CN"/>
              </w:rPr>
              <w:t>：1套</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“绿叶”计划</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lang w:val="en-US" w:eastAsia="zh-CN"/>
              </w:rPr>
              <w:t>职介服务</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color w:val="auto"/>
                <w:szCs w:val="21"/>
                <w:highlight w:val="none"/>
                <w:lang w:val="en-US"/>
              </w:rPr>
            </w:pPr>
            <w:r>
              <w:rPr>
                <w:rFonts w:hint="eastAsia" w:ascii="宋体" w:hAnsi="宋体" w:eastAsia="宋体" w:cs="宋体"/>
                <w:color w:val="000000"/>
                <w:kern w:val="0"/>
                <w:sz w:val="21"/>
                <w:szCs w:val="21"/>
                <w:highlight w:val="none"/>
                <w:lang w:val="en-US" w:eastAsia="zh-CN"/>
              </w:rPr>
              <w:t>每月一次；每年12次</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就业帮扶</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Cs/>
                <w:kern w:val="0"/>
                <w:sz w:val="21"/>
                <w:szCs w:val="21"/>
                <w:highlight w:val="none"/>
              </w:rPr>
              <w:t>就业帮扶率达到80%</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“普照”计划</w:t>
            </w: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禁毒宣传进校园活动</w:t>
            </w:r>
          </w:p>
        </w:tc>
        <w:tc>
          <w:tcPr>
            <w:tcW w:w="3045" w:type="dxa"/>
            <w:vAlign w:val="center"/>
          </w:tcPr>
          <w:p>
            <w:pPr>
              <w:tabs>
                <w:tab w:val="left" w:pos="540"/>
                <w:tab w:val="left" w:pos="779"/>
              </w:tabs>
              <w:spacing w:line="360" w:lineRule="auto"/>
              <w:ind w:firstLine="0" w:firstLineChars="0"/>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每月至少一场；每年12场</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25</w:t>
            </w:r>
          </w:p>
        </w:tc>
        <w:tc>
          <w:tcPr>
            <w:tcW w:w="819"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禁毒教育基地的使用</w:t>
            </w: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每月至少一场；</w:t>
            </w:r>
            <w:r>
              <w:rPr>
                <w:rFonts w:hint="eastAsia" w:ascii="宋体" w:hAnsi="宋体" w:cs="宋体"/>
                <w:b w:val="0"/>
                <w:bCs w:val="0"/>
                <w:color w:val="auto"/>
                <w:szCs w:val="21"/>
                <w:highlight w:val="none"/>
                <w:lang w:val="en-US" w:eastAsia="zh-CN"/>
              </w:rPr>
              <w:t>每年</w:t>
            </w:r>
            <w:r>
              <w:rPr>
                <w:rFonts w:hint="eastAsia" w:ascii="宋体" w:hAnsi="宋体" w:eastAsia="宋体" w:cs="宋体"/>
                <w:b w:val="0"/>
                <w:bCs w:val="0"/>
                <w:color w:val="auto"/>
                <w:szCs w:val="21"/>
                <w:highlight w:val="none"/>
                <w:lang w:val="en-US" w:eastAsia="zh-CN"/>
              </w:rPr>
              <w:t>12</w:t>
            </w:r>
            <w:r>
              <w:rPr>
                <w:rFonts w:hint="eastAsia" w:ascii="宋体" w:hAnsi="宋体" w:eastAsia="宋体" w:cs="宋体"/>
                <w:b w:val="0"/>
                <w:bCs w:val="0"/>
                <w:color w:val="auto"/>
                <w:szCs w:val="21"/>
                <w:highlight w:val="none"/>
              </w:rPr>
              <w:t>场</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25</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六进禁毒预防教育活动</w:t>
            </w:r>
          </w:p>
        </w:tc>
        <w:tc>
          <w:tcPr>
            <w:tcW w:w="3045" w:type="dxa"/>
            <w:vAlign w:val="center"/>
          </w:tcPr>
          <w:p>
            <w:pPr>
              <w:tabs>
                <w:tab w:val="left" w:pos="540"/>
                <w:tab w:val="left" w:pos="779"/>
              </w:tabs>
              <w:spacing w:line="360" w:lineRule="auto"/>
              <w:ind w:firstLine="0" w:firstLineChars="0"/>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eastAsia="zh-CN"/>
              </w:rPr>
              <w:t>一年</w:t>
            </w:r>
            <w:r>
              <w:rPr>
                <w:rFonts w:hint="eastAsia" w:ascii="宋体" w:hAnsi="宋体" w:cs="宋体"/>
                <w:b w:val="0"/>
                <w:bCs w:val="0"/>
                <w:color w:val="auto"/>
                <w:szCs w:val="21"/>
                <w:highlight w:val="none"/>
                <w:lang w:val="en-US" w:eastAsia="zh-CN"/>
              </w:rPr>
              <w:t>6场；知晓率达到95%</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25</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lang w:eastAsia="zh-CN"/>
              </w:rPr>
              <w:t>按规定开展了</w:t>
            </w:r>
            <w:r>
              <w:rPr>
                <w:rFonts w:hint="eastAsia" w:ascii="宋体" w:hAnsi="宋体" w:eastAsia="宋体" w:cs="宋体"/>
                <w:b w:val="0"/>
                <w:bCs w:val="0"/>
                <w:color w:val="auto"/>
                <w:szCs w:val="21"/>
                <w:highlight w:val="none"/>
              </w:rPr>
              <w:t>协助职能部门禁毒宣传工作</w:t>
            </w:r>
            <w:r>
              <w:rPr>
                <w:rFonts w:hint="eastAsia" w:ascii="宋体" w:hAnsi="宋体" w:cs="宋体"/>
                <w:b w:val="0"/>
                <w:bCs w:val="0"/>
                <w:color w:val="auto"/>
                <w:szCs w:val="21"/>
                <w:highlight w:val="none"/>
                <w:lang w:eastAsia="zh-CN"/>
              </w:rPr>
              <w:t>；信息通稿等工作</w:t>
            </w: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根据</w:t>
            </w:r>
            <w:r>
              <w:rPr>
                <w:rFonts w:hint="eastAsia" w:ascii="宋体" w:hAnsi="宋体" w:eastAsia="宋体" w:cs="宋体"/>
                <w:b w:val="0"/>
                <w:bCs w:val="0"/>
                <w:color w:val="auto"/>
                <w:szCs w:val="21"/>
                <w:highlight w:val="none"/>
                <w:lang w:eastAsia="zh-CN"/>
              </w:rPr>
              <w:t>实际</w:t>
            </w:r>
            <w:r>
              <w:rPr>
                <w:rFonts w:hint="eastAsia" w:ascii="宋体" w:hAnsi="宋体" w:eastAsia="宋体" w:cs="宋体"/>
                <w:b w:val="0"/>
                <w:bCs w:val="0"/>
                <w:color w:val="auto"/>
                <w:szCs w:val="21"/>
                <w:highlight w:val="none"/>
              </w:rPr>
              <w:t>需求开展</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25</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行政工作</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与</w:t>
            </w:r>
            <w:r>
              <w:rPr>
                <w:rFonts w:hint="eastAsia" w:ascii="宋体" w:hAnsi="宋体" w:eastAsia="宋体" w:cs="宋体"/>
                <w:color w:val="000000"/>
                <w:kern w:val="0"/>
                <w:sz w:val="21"/>
                <w:szCs w:val="21"/>
                <w:highlight w:val="none"/>
                <w:lang w:eastAsia="zh-CN"/>
              </w:rPr>
              <w:t>采购人</w:t>
            </w:r>
            <w:r>
              <w:rPr>
                <w:rFonts w:hint="eastAsia" w:ascii="宋体" w:hAnsi="宋体" w:eastAsia="宋体" w:cs="宋体"/>
                <w:color w:val="000000"/>
                <w:kern w:val="0"/>
                <w:sz w:val="21"/>
                <w:szCs w:val="21"/>
                <w:highlight w:val="none"/>
              </w:rPr>
              <w:t>联席会议</w:t>
            </w:r>
          </w:p>
        </w:tc>
        <w:tc>
          <w:tcPr>
            <w:tcW w:w="3045" w:type="dxa"/>
            <w:vAlign w:val="center"/>
          </w:tcPr>
          <w:p>
            <w:pPr>
              <w:tabs>
                <w:tab w:val="left" w:pos="540"/>
                <w:tab w:val="left" w:pos="779"/>
              </w:tabs>
              <w:spacing w:line="360" w:lineRule="auto"/>
              <w:ind w:firstLine="0" w:firstLineChars="0"/>
              <w:contextualSpacing/>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每</w:t>
            </w:r>
            <w:r>
              <w:rPr>
                <w:rFonts w:hint="eastAsia" w:ascii="宋体" w:hAnsi="宋体" w:eastAsia="宋体" w:cs="宋体"/>
                <w:b w:val="0"/>
                <w:bCs w:val="0"/>
                <w:color w:val="auto"/>
                <w:szCs w:val="21"/>
                <w:highlight w:val="none"/>
                <w:lang w:val="en-US" w:eastAsia="zh-CN"/>
              </w:rPr>
              <w:t>季度</w:t>
            </w:r>
            <w:r>
              <w:rPr>
                <w:rFonts w:hint="eastAsia" w:ascii="宋体" w:hAnsi="宋体" w:eastAsia="宋体" w:cs="宋体"/>
                <w:b w:val="0"/>
                <w:bCs w:val="0"/>
                <w:color w:val="auto"/>
                <w:szCs w:val="21"/>
                <w:highlight w:val="none"/>
              </w:rPr>
              <w:t>1次</w:t>
            </w:r>
            <w:r>
              <w:rPr>
                <w:rFonts w:hint="eastAsia" w:ascii="宋体" w:hAnsi="宋体" w:cs="宋体"/>
                <w:b w:val="0"/>
                <w:bCs w:val="0"/>
                <w:color w:val="auto"/>
                <w:szCs w:val="21"/>
                <w:highlight w:val="none"/>
                <w:lang w:eastAsia="zh-CN"/>
              </w:rPr>
              <w:t>；每年</w:t>
            </w:r>
            <w:r>
              <w:rPr>
                <w:rFonts w:hint="eastAsia" w:ascii="宋体" w:hAnsi="宋体" w:cs="宋体"/>
                <w:b w:val="0"/>
                <w:bCs w:val="0"/>
                <w:color w:val="auto"/>
                <w:szCs w:val="21"/>
                <w:highlight w:val="none"/>
                <w:lang w:val="en-US" w:eastAsia="zh-CN"/>
              </w:rPr>
              <w:t>4次</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会议记录</w:t>
            </w: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篇</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增强员工综合素质</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员工培训</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auto"/>
                <w:kern w:val="0"/>
                <w:sz w:val="21"/>
                <w:szCs w:val="21"/>
                <w:highlight w:val="none"/>
                <w:lang w:val="en-US" w:eastAsia="zh-CN"/>
              </w:rPr>
              <w:t>每季度</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次</w:t>
            </w:r>
            <w:r>
              <w:rPr>
                <w:rFonts w:hint="eastAsia" w:ascii="宋体" w:hAnsi="宋体" w:eastAsia="宋体" w:cs="宋体"/>
                <w:color w:val="auto"/>
                <w:kern w:val="0"/>
                <w:sz w:val="21"/>
                <w:szCs w:val="21"/>
                <w:highlight w:val="none"/>
                <w:lang w:eastAsia="zh-CN"/>
              </w:rPr>
              <w:t>；每年</w:t>
            </w:r>
            <w:r>
              <w:rPr>
                <w:rFonts w:hint="eastAsia" w:ascii="宋体" w:hAnsi="宋体" w:eastAsia="宋体" w:cs="宋体"/>
                <w:color w:val="auto"/>
                <w:kern w:val="0"/>
                <w:sz w:val="21"/>
                <w:szCs w:val="21"/>
                <w:highlight w:val="none"/>
                <w:lang w:val="en-US" w:eastAsia="zh-CN"/>
              </w:rPr>
              <w:t>4次；</w:t>
            </w:r>
            <w:r>
              <w:rPr>
                <w:rFonts w:hint="eastAsia" w:ascii="宋体" w:hAnsi="宋体" w:eastAsia="宋体" w:cs="宋体"/>
                <w:color w:val="auto"/>
                <w:kern w:val="0"/>
                <w:sz w:val="21"/>
                <w:szCs w:val="21"/>
                <w:highlight w:val="none"/>
                <w:lang w:eastAsia="zh-CN"/>
              </w:rPr>
              <w:t>培训信息稿</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30</w:t>
            </w:r>
          </w:p>
        </w:tc>
        <w:tc>
          <w:tcPr>
            <w:tcW w:w="819" w:type="dxa"/>
            <w:vMerge w:val="restart"/>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个人督导</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auto"/>
                <w:kern w:val="0"/>
                <w:sz w:val="21"/>
                <w:szCs w:val="21"/>
                <w:highlight w:val="none"/>
              </w:rPr>
              <w:t>每</w:t>
            </w:r>
            <w:r>
              <w:rPr>
                <w:rFonts w:hint="eastAsia" w:ascii="宋体" w:hAnsi="宋体" w:eastAsia="宋体" w:cs="宋体"/>
                <w:color w:val="auto"/>
                <w:kern w:val="0"/>
                <w:sz w:val="21"/>
                <w:szCs w:val="21"/>
                <w:highlight w:val="none"/>
                <w:lang w:val="en-US" w:eastAsia="zh-CN"/>
              </w:rPr>
              <w:t>两</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次；每年6次；台账登记</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40</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团队会议督导</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auto"/>
                <w:kern w:val="0"/>
                <w:sz w:val="21"/>
                <w:szCs w:val="21"/>
                <w:highlight w:val="none"/>
              </w:rPr>
              <w:t>每</w:t>
            </w:r>
            <w:r>
              <w:rPr>
                <w:rFonts w:hint="eastAsia" w:ascii="宋体" w:hAnsi="宋体" w:eastAsia="宋体" w:cs="宋体"/>
                <w:color w:val="auto"/>
                <w:kern w:val="0"/>
                <w:sz w:val="21"/>
                <w:szCs w:val="21"/>
                <w:highlight w:val="none"/>
                <w:lang w:val="en-US" w:eastAsia="zh-CN"/>
              </w:rPr>
              <w:t>季度</w:t>
            </w:r>
            <w:r>
              <w:rPr>
                <w:rFonts w:hint="eastAsia" w:ascii="宋体" w:hAnsi="宋体" w:eastAsia="宋体" w:cs="宋体"/>
                <w:color w:val="auto"/>
                <w:kern w:val="0"/>
                <w:sz w:val="21"/>
                <w:szCs w:val="21"/>
                <w:highlight w:val="none"/>
              </w:rPr>
              <w:t>1次</w:t>
            </w:r>
            <w:r>
              <w:rPr>
                <w:rFonts w:hint="eastAsia" w:ascii="宋体" w:hAnsi="宋体" w:eastAsia="宋体" w:cs="宋体"/>
                <w:color w:val="auto"/>
                <w:kern w:val="0"/>
                <w:sz w:val="21"/>
                <w:szCs w:val="21"/>
                <w:highlight w:val="none"/>
                <w:lang w:eastAsia="zh-CN"/>
              </w:rPr>
              <w:t>；每年</w:t>
            </w:r>
            <w:r>
              <w:rPr>
                <w:rFonts w:hint="eastAsia" w:ascii="宋体" w:hAnsi="宋体" w:eastAsia="宋体" w:cs="宋体"/>
                <w:color w:val="auto"/>
                <w:kern w:val="0"/>
                <w:sz w:val="21"/>
                <w:szCs w:val="21"/>
                <w:highlight w:val="none"/>
                <w:lang w:val="en-US" w:eastAsia="zh-CN"/>
              </w:rPr>
              <w:t>4次；</w:t>
            </w:r>
            <w:r>
              <w:rPr>
                <w:rFonts w:hint="eastAsia" w:ascii="宋体" w:hAnsi="宋体" w:eastAsia="宋体" w:cs="宋体"/>
                <w:color w:val="auto"/>
                <w:kern w:val="0"/>
                <w:sz w:val="21"/>
                <w:szCs w:val="21"/>
                <w:highlight w:val="none"/>
                <w:lang w:eastAsia="zh-CN"/>
              </w:rPr>
              <w:t>会议纪要</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30</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规章制度建设</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岗位职责、中心日常运作管理制度</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lang w:eastAsia="zh-CN"/>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套</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社工督导制度</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套</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个案运作模式</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套</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小组程序模式</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套</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社区宣传活动</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按考核要求进行</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项目管理制度</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套</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志愿服务管理制度</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套</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服务成果产出</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完成项目进度的工作汇报、总结报告</w:t>
            </w: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每月</w:t>
            </w: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份工作汇报</w:t>
            </w:r>
            <w:r>
              <w:rPr>
                <w:rFonts w:hint="eastAsia" w:ascii="宋体" w:hAnsi="宋体" w:cs="宋体"/>
                <w:b w:val="0"/>
                <w:bCs w:val="0"/>
                <w:color w:val="auto"/>
                <w:szCs w:val="21"/>
                <w:highlight w:val="none"/>
                <w:lang w:eastAsia="zh-CN"/>
              </w:rPr>
              <w:t>；每年</w:t>
            </w:r>
            <w:r>
              <w:rPr>
                <w:rFonts w:hint="eastAsia" w:ascii="宋体" w:hAnsi="宋体" w:eastAsia="宋体" w:cs="宋体"/>
                <w:b w:val="0"/>
                <w:bCs w:val="0"/>
                <w:color w:val="auto"/>
                <w:szCs w:val="21"/>
                <w:highlight w:val="none"/>
              </w:rPr>
              <w:t>年终</w:t>
            </w: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份工作总结报告</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100</w:t>
            </w:r>
          </w:p>
        </w:tc>
        <w:tc>
          <w:tcPr>
            <w:tcW w:w="819" w:type="dxa"/>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5"/>
            <w:vAlign w:val="center"/>
          </w:tcPr>
          <w:p>
            <w:pPr>
              <w:tabs>
                <w:tab w:val="left" w:pos="540"/>
                <w:tab w:val="left" w:pos="779"/>
              </w:tabs>
              <w:spacing w:line="360" w:lineRule="auto"/>
              <w:contextualSpacing/>
              <w:jc w:val="both"/>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lang w:val="en-US" w:eastAsia="zh-CN"/>
              </w:rPr>
              <w:t>二</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社矫安帮服务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专业服务</w:t>
            </w: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建立档案</w:t>
            </w: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100%</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30</w:t>
            </w:r>
            <w:r>
              <w:rPr>
                <w:rFonts w:hint="eastAsia" w:ascii="宋体" w:hAnsi="宋体" w:eastAsia="宋体" w:cs="宋体"/>
                <w:b w:val="0"/>
                <w:bCs w:val="0"/>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访谈评估</w:t>
            </w: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按照实际需要开展</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社区公益活动</w:t>
            </w: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1次/月</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集体教育</w:t>
            </w: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1次/月</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实地查访</w:t>
            </w: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按照规定开展</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志愿者服务培训及总结</w:t>
            </w: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1次/月</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法制宣传、扫黑除恶宣传</w:t>
            </w: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每个专项宣传至少1次/月</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反邪教警示教育宣传</w:t>
            </w:r>
          </w:p>
        </w:tc>
        <w:tc>
          <w:tcPr>
            <w:tcW w:w="3045" w:type="dxa"/>
            <w:vAlign w:val="center"/>
          </w:tcPr>
          <w:p>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每月至少2次/月</w:t>
            </w:r>
          </w:p>
        </w:tc>
        <w:tc>
          <w:tcPr>
            <w:tcW w:w="827" w:type="dxa"/>
            <w:vAlign w:val="center"/>
          </w:tcPr>
          <w:p>
            <w:pPr>
              <w:tabs>
                <w:tab w:val="left" w:pos="540"/>
                <w:tab w:val="left" w:pos="779"/>
              </w:tabs>
              <w:spacing w:line="360" w:lineRule="auto"/>
              <w:contextualSpacing/>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就业帮扶</w:t>
            </w: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按照实际需求开展</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个别心理访谈</w:t>
            </w: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按照实际需要开展</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其他服务（满足不同服务对象需求的服务）</w:t>
            </w:r>
          </w:p>
        </w:tc>
        <w:tc>
          <w:tcPr>
            <w:tcW w:w="3045" w:type="dxa"/>
            <w:vAlign w:val="center"/>
          </w:tcPr>
          <w:p>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按照实际需要开展</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服务发展</w:t>
            </w:r>
          </w:p>
        </w:tc>
        <w:tc>
          <w:tcPr>
            <w:tcW w:w="3045" w:type="dxa"/>
            <w:vAlign w:val="center"/>
          </w:tcPr>
          <w:p>
            <w:pPr>
              <w:pStyle w:val="10"/>
              <w:spacing w:line="360" w:lineRule="auto"/>
              <w:ind w:left="0" w:leftChars="0"/>
              <w:jc w:val="center"/>
              <w:rPr>
                <w:rFonts w:hint="eastAsia" w:ascii="宋体" w:hAnsi="宋体" w:eastAsia="宋体" w:cs="宋体"/>
                <w:color w:val="000000"/>
                <w:kern w:val="0"/>
                <w:sz w:val="21"/>
                <w:szCs w:val="21"/>
                <w:highlight w:val="none"/>
              </w:rPr>
            </w:pPr>
            <w:r>
              <w:rPr>
                <w:rFonts w:hint="eastAsia" w:ascii="宋体" w:hAnsi="宋体" w:eastAsia="宋体" w:cs="宋体"/>
                <w:b w:val="0"/>
                <w:bCs w:val="0"/>
                <w:color w:val="000000"/>
                <w:szCs w:val="21"/>
                <w:highlight w:val="none"/>
                <w:lang w:val="en-US" w:eastAsia="zh-CN"/>
              </w:rPr>
              <w:t>督导</w:t>
            </w:r>
          </w:p>
        </w:tc>
        <w:tc>
          <w:tcPr>
            <w:tcW w:w="3045" w:type="dxa"/>
            <w:vAlign w:val="center"/>
          </w:tcPr>
          <w:p>
            <w:pPr>
              <w:pStyle w:val="10"/>
              <w:spacing w:line="360" w:lineRule="auto"/>
              <w:ind w:left="0" w:leftChars="0"/>
              <w:jc w:val="center"/>
              <w:rPr>
                <w:rFonts w:hint="default" w:ascii="宋体" w:hAnsi="宋体" w:eastAsia="宋体" w:cs="宋体"/>
                <w:b w:val="0"/>
                <w:bCs w:val="0"/>
                <w:color w:val="auto"/>
                <w:szCs w:val="21"/>
                <w:highlight w:val="none"/>
                <w:lang w:val="en-US"/>
              </w:rPr>
            </w:pPr>
            <w:r>
              <w:rPr>
                <w:rFonts w:hint="eastAsia" w:ascii="宋体" w:hAnsi="宋体" w:eastAsia="宋体" w:cs="宋体"/>
                <w:b w:val="0"/>
                <w:bCs w:val="0"/>
                <w:color w:val="000000"/>
                <w:szCs w:val="21"/>
                <w:highlight w:val="none"/>
                <w:lang w:val="en-US" w:eastAsia="zh-CN"/>
              </w:rPr>
              <w:t>每季度1次；每年4次</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restart"/>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pPr>
              <w:pStyle w:val="10"/>
              <w:spacing w:line="360" w:lineRule="auto"/>
              <w:ind w:left="0" w:leftChars="0"/>
              <w:jc w:val="center"/>
              <w:rPr>
                <w:rFonts w:hint="eastAsia" w:ascii="宋体" w:hAnsi="宋体" w:eastAsia="宋体" w:cs="宋体"/>
                <w:color w:val="000000"/>
                <w:kern w:val="0"/>
                <w:sz w:val="21"/>
                <w:szCs w:val="21"/>
                <w:highlight w:val="none"/>
              </w:rPr>
            </w:pPr>
            <w:r>
              <w:rPr>
                <w:rFonts w:hint="eastAsia" w:ascii="宋体" w:hAnsi="宋体" w:eastAsia="宋体" w:cs="宋体"/>
                <w:b w:val="0"/>
                <w:bCs w:val="0"/>
                <w:color w:val="000000"/>
                <w:szCs w:val="21"/>
                <w:highlight w:val="none"/>
                <w:lang w:val="en-US" w:eastAsia="zh-CN"/>
              </w:rPr>
              <w:t>培训、交流学习</w:t>
            </w:r>
          </w:p>
        </w:tc>
        <w:tc>
          <w:tcPr>
            <w:tcW w:w="3045" w:type="dxa"/>
            <w:vAlign w:val="center"/>
          </w:tcPr>
          <w:p>
            <w:pPr>
              <w:pStyle w:val="10"/>
              <w:spacing w:line="360" w:lineRule="auto"/>
              <w:ind w:left="0" w:left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000000"/>
                <w:szCs w:val="21"/>
                <w:highlight w:val="none"/>
                <w:lang w:val="en-US" w:eastAsia="zh-CN"/>
              </w:rPr>
              <w:t>每季度1次；每年4次</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continue"/>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行政管理</w:t>
            </w:r>
          </w:p>
        </w:tc>
        <w:tc>
          <w:tcPr>
            <w:tcW w:w="30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总结汇报</w:t>
            </w:r>
          </w:p>
        </w:tc>
        <w:tc>
          <w:tcPr>
            <w:tcW w:w="3045" w:type="dxa"/>
            <w:vAlign w:val="center"/>
          </w:tcPr>
          <w:p>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每月</w:t>
            </w: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val="en-US" w:eastAsia="zh-CN"/>
              </w:rPr>
              <w:t>次、半年度</w:t>
            </w: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val="en-US" w:eastAsia="zh-CN"/>
              </w:rPr>
              <w:t>次、全年度</w:t>
            </w: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val="en-US" w:eastAsia="zh-CN"/>
              </w:rPr>
              <w:t>次</w:t>
            </w:r>
          </w:p>
        </w:tc>
        <w:tc>
          <w:tcPr>
            <w:tcW w:w="827" w:type="dxa"/>
            <w:vAlign w:val="center"/>
          </w:tcPr>
          <w:p>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100</w:t>
            </w:r>
          </w:p>
        </w:tc>
        <w:tc>
          <w:tcPr>
            <w:tcW w:w="819" w:type="dxa"/>
            <w:vAlign w:val="center"/>
          </w:tcPr>
          <w:p>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5"/>
            <w:vAlign w:val="center"/>
          </w:tcPr>
          <w:p>
            <w:pPr>
              <w:tabs>
                <w:tab w:val="left" w:pos="540"/>
                <w:tab w:val="left" w:pos="779"/>
              </w:tabs>
              <w:spacing w:line="360" w:lineRule="auto"/>
              <w:contextualSpacing/>
              <w:jc w:val="left"/>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注意事项</w:t>
            </w:r>
            <w:r>
              <w:rPr>
                <w:rFonts w:hint="eastAsia" w:ascii="宋体" w:hAnsi="宋体" w:cs="宋体"/>
                <w:b w:val="0"/>
                <w:bCs w:val="0"/>
                <w:color w:val="auto"/>
                <w:szCs w:val="21"/>
                <w:highlight w:val="none"/>
                <w:lang w:eastAsia="zh-CN"/>
              </w:rPr>
              <w:t>：</w:t>
            </w:r>
          </w:p>
          <w:p>
            <w:pPr>
              <w:tabs>
                <w:tab w:val="left" w:pos="540"/>
                <w:tab w:val="left" w:pos="779"/>
              </w:tabs>
              <w:spacing w:line="360" w:lineRule="auto"/>
              <w:contextualSpacing/>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rPr>
              <w:t>达到内容指标，按分数列取得相应分数。达不到内容指标，按达到比例打分。</w:t>
            </w:r>
          </w:p>
          <w:p>
            <w:pPr>
              <w:tabs>
                <w:tab w:val="left" w:pos="540"/>
                <w:tab w:val="left" w:pos="779"/>
              </w:tabs>
              <w:spacing w:line="360" w:lineRule="auto"/>
              <w:contextualSpacing/>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bCs/>
                <w:color w:val="auto"/>
                <w:szCs w:val="21"/>
                <w:highlight w:val="none"/>
              </w:rPr>
              <w:t>分数之和乘上所占比重得出最后分数</w:t>
            </w:r>
            <w:r>
              <w:rPr>
                <w:rFonts w:hint="eastAsia" w:ascii="宋体" w:hAnsi="宋体" w:eastAsia="宋体" w:cs="宋体"/>
                <w:b w:val="0"/>
                <w:bCs w:val="0"/>
                <w:color w:val="auto"/>
                <w:szCs w:val="21"/>
                <w:highlight w:val="none"/>
              </w:rPr>
              <w:t>：评估90分</w:t>
            </w:r>
            <w:r>
              <w:rPr>
                <w:rFonts w:hint="eastAsia" w:ascii="宋体" w:hAnsi="宋体" w:eastAsia="宋体" w:cs="宋体"/>
                <w:b w:val="0"/>
                <w:bCs w:val="0"/>
                <w:color w:val="auto"/>
                <w:szCs w:val="21"/>
                <w:highlight w:val="none"/>
                <w:lang w:eastAsia="zh-CN"/>
              </w:rPr>
              <w:t>及</w:t>
            </w:r>
            <w:r>
              <w:rPr>
                <w:rFonts w:hint="eastAsia" w:ascii="宋体" w:hAnsi="宋体" w:eastAsia="宋体" w:cs="宋体"/>
                <w:b w:val="0"/>
                <w:bCs w:val="0"/>
                <w:color w:val="auto"/>
                <w:szCs w:val="21"/>
                <w:highlight w:val="none"/>
              </w:rPr>
              <w:t>以上为优秀；80—</w:t>
            </w:r>
            <w:r>
              <w:rPr>
                <w:rFonts w:hint="eastAsia" w:ascii="宋体" w:hAnsi="宋体" w:eastAsia="宋体" w:cs="宋体"/>
                <w:b w:val="0"/>
                <w:bCs w:val="0"/>
                <w:color w:val="auto"/>
                <w:szCs w:val="21"/>
                <w:highlight w:val="none"/>
                <w:lang w:val="en-US" w:eastAsia="zh-CN"/>
              </w:rPr>
              <w:t>90</w:t>
            </w:r>
            <w:r>
              <w:rPr>
                <w:rFonts w:hint="eastAsia" w:ascii="宋体" w:hAnsi="宋体" w:eastAsia="宋体" w:cs="宋体"/>
                <w:b w:val="0"/>
                <w:bCs w:val="0"/>
                <w:color w:val="auto"/>
                <w:szCs w:val="21"/>
                <w:highlight w:val="none"/>
              </w:rPr>
              <w:t>分</w:t>
            </w:r>
            <w:r>
              <w:rPr>
                <w:rFonts w:hint="eastAsia" w:ascii="宋体" w:hAnsi="宋体" w:eastAsia="宋体" w:cs="宋体"/>
                <w:b w:val="0"/>
                <w:bCs w:val="0"/>
                <w:color w:val="auto"/>
                <w:szCs w:val="21"/>
                <w:highlight w:val="none"/>
                <w:lang w:eastAsia="zh-CN"/>
              </w:rPr>
              <w:t>（不含</w:t>
            </w:r>
            <w:r>
              <w:rPr>
                <w:rFonts w:hint="eastAsia" w:ascii="宋体" w:hAnsi="宋体" w:eastAsia="宋体" w:cs="宋体"/>
                <w:b w:val="0"/>
                <w:bCs w:val="0"/>
                <w:color w:val="auto"/>
                <w:szCs w:val="21"/>
                <w:highlight w:val="none"/>
                <w:lang w:val="en-US" w:eastAsia="zh-CN"/>
              </w:rPr>
              <w:t>90</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为良好；70—</w:t>
            </w:r>
            <w:r>
              <w:rPr>
                <w:rFonts w:hint="eastAsia" w:ascii="宋体" w:hAnsi="宋体" w:eastAsia="宋体" w:cs="宋体"/>
                <w:b w:val="0"/>
                <w:bCs w:val="0"/>
                <w:color w:val="auto"/>
                <w:szCs w:val="21"/>
                <w:highlight w:val="none"/>
                <w:lang w:val="en-US" w:eastAsia="zh-CN"/>
              </w:rPr>
              <w:t>80</w:t>
            </w:r>
            <w:r>
              <w:rPr>
                <w:rFonts w:hint="eastAsia" w:ascii="宋体" w:hAnsi="宋体" w:eastAsia="宋体" w:cs="宋体"/>
                <w:b w:val="0"/>
                <w:bCs w:val="0"/>
                <w:color w:val="auto"/>
                <w:szCs w:val="21"/>
                <w:highlight w:val="none"/>
              </w:rPr>
              <w:t>分</w:t>
            </w:r>
            <w:r>
              <w:rPr>
                <w:rFonts w:hint="eastAsia" w:ascii="宋体" w:hAnsi="宋体" w:eastAsia="宋体" w:cs="宋体"/>
                <w:b w:val="0"/>
                <w:bCs w:val="0"/>
                <w:color w:val="auto"/>
                <w:szCs w:val="21"/>
                <w:highlight w:val="none"/>
                <w:lang w:eastAsia="zh-CN"/>
              </w:rPr>
              <w:t>（不含</w:t>
            </w:r>
            <w:r>
              <w:rPr>
                <w:rFonts w:hint="eastAsia" w:ascii="宋体" w:hAnsi="宋体" w:eastAsia="宋体" w:cs="宋体"/>
                <w:b w:val="0"/>
                <w:bCs w:val="0"/>
                <w:color w:val="auto"/>
                <w:szCs w:val="21"/>
                <w:highlight w:val="none"/>
                <w:lang w:val="en-US" w:eastAsia="zh-CN"/>
              </w:rPr>
              <w:t>80</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为合格；60—</w:t>
            </w:r>
            <w:r>
              <w:rPr>
                <w:rFonts w:hint="eastAsia" w:ascii="宋体" w:hAnsi="宋体" w:eastAsia="宋体" w:cs="宋体"/>
                <w:b w:val="0"/>
                <w:bCs w:val="0"/>
                <w:color w:val="auto"/>
                <w:szCs w:val="21"/>
                <w:highlight w:val="none"/>
                <w:lang w:val="en-US" w:eastAsia="zh-CN"/>
              </w:rPr>
              <w:t>70</w:t>
            </w:r>
            <w:r>
              <w:rPr>
                <w:rFonts w:hint="eastAsia" w:ascii="宋体" w:hAnsi="宋体" w:eastAsia="宋体" w:cs="宋体"/>
                <w:b w:val="0"/>
                <w:bCs w:val="0"/>
                <w:color w:val="auto"/>
                <w:szCs w:val="21"/>
                <w:highlight w:val="none"/>
              </w:rPr>
              <w:t>分</w:t>
            </w:r>
            <w:r>
              <w:rPr>
                <w:rFonts w:hint="eastAsia" w:ascii="宋体" w:hAnsi="宋体" w:eastAsia="宋体" w:cs="宋体"/>
                <w:b w:val="0"/>
                <w:bCs w:val="0"/>
                <w:color w:val="auto"/>
                <w:szCs w:val="21"/>
                <w:highlight w:val="none"/>
                <w:lang w:eastAsia="zh-CN"/>
              </w:rPr>
              <w:t>（不含</w:t>
            </w:r>
            <w:r>
              <w:rPr>
                <w:rFonts w:hint="eastAsia" w:ascii="宋体" w:hAnsi="宋体" w:eastAsia="宋体" w:cs="宋体"/>
                <w:b w:val="0"/>
                <w:bCs w:val="0"/>
                <w:color w:val="auto"/>
                <w:szCs w:val="21"/>
                <w:highlight w:val="none"/>
                <w:lang w:val="en-US" w:eastAsia="zh-CN"/>
              </w:rPr>
              <w:t>70</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为基本合格；60分以下为不合格。</w:t>
            </w:r>
          </w:p>
        </w:tc>
      </w:tr>
    </w:tbl>
    <w:p>
      <w:pPr>
        <w:spacing w:line="360" w:lineRule="auto"/>
        <w:rPr>
          <w:rFonts w:hint="eastAsia" w:ascii="宋体" w:hAnsi="宋体" w:eastAsia="宋体" w:cs="宋体"/>
          <w:color w:val="000000"/>
          <w:szCs w:val="21"/>
          <w:highlight w:val="none"/>
          <w:lang w:val="en-US" w:eastAsia="zh-CN"/>
        </w:rPr>
      </w:pPr>
    </w:p>
    <w:p>
      <w:pPr>
        <w:pStyle w:val="10"/>
        <w:spacing w:line="360" w:lineRule="auto"/>
        <w:ind w:left="0" w:leftChars="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九、采购人配合条件</w:t>
      </w:r>
    </w:p>
    <w:bookmarkEnd w:id="2"/>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为配合本项目各阶段</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工作，</w:t>
      </w:r>
      <w:r>
        <w:rPr>
          <w:rFonts w:hint="eastAsia" w:ascii="仿宋_GB2312" w:hAnsi="仿宋_GB2312" w:eastAsia="仿宋_GB2312" w:cs="仿宋_GB2312"/>
          <w:color w:val="auto"/>
          <w:sz w:val="32"/>
          <w:szCs w:val="32"/>
          <w:highlight w:val="none"/>
          <w:lang w:val="en-US" w:eastAsia="zh-CN"/>
        </w:rPr>
        <w:t>供应商</w:t>
      </w:r>
      <w:r>
        <w:rPr>
          <w:rFonts w:hint="eastAsia" w:ascii="仿宋_GB2312" w:hAnsi="仿宋_GB2312" w:eastAsia="仿宋_GB2312" w:cs="仿宋_GB2312"/>
          <w:color w:val="auto"/>
          <w:sz w:val="32"/>
          <w:szCs w:val="32"/>
          <w:highlight w:val="none"/>
        </w:rPr>
        <w:t>如有需要采购人配合的工作内容和具体要求，需要列明，但列明不等于采购人同意完全配合落实，执行主体和责任主体仍为</w:t>
      </w:r>
      <w:r>
        <w:rPr>
          <w:rFonts w:hint="eastAsia" w:ascii="仿宋_GB2312" w:hAnsi="仿宋_GB2312" w:eastAsia="仿宋_GB2312" w:cs="仿宋_GB2312"/>
          <w:color w:val="auto"/>
          <w:sz w:val="32"/>
          <w:szCs w:val="32"/>
          <w:highlight w:val="none"/>
          <w:lang w:val="en-US" w:eastAsia="zh-CN"/>
        </w:rPr>
        <w:t>供应商</w:t>
      </w:r>
      <w:r>
        <w:rPr>
          <w:rFonts w:hint="eastAsia" w:ascii="仿宋_GB2312" w:hAnsi="仿宋_GB2312" w:eastAsia="仿宋_GB2312" w:cs="仿宋_GB2312"/>
          <w:color w:val="auto"/>
          <w:sz w:val="32"/>
          <w:szCs w:val="32"/>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iMmJmYTljOWM2NjhiNWIwNWQ1ZGUzMGY0MWYzZjcifQ=="/>
    <w:docVar w:name="KSO_WPS_MARK_KEY" w:val="6967bc46-1a00-4d1a-a57c-5609cc138dd9"/>
  </w:docVars>
  <w:rsids>
    <w:rsidRoot w:val="006F160E"/>
    <w:rsid w:val="006F160E"/>
    <w:rsid w:val="00C33D4A"/>
    <w:rsid w:val="02B40D8A"/>
    <w:rsid w:val="03003617"/>
    <w:rsid w:val="04294FAA"/>
    <w:rsid w:val="05A135B1"/>
    <w:rsid w:val="06663CF3"/>
    <w:rsid w:val="06F85085"/>
    <w:rsid w:val="0779609A"/>
    <w:rsid w:val="098552F6"/>
    <w:rsid w:val="09B46A73"/>
    <w:rsid w:val="0AF40E05"/>
    <w:rsid w:val="0C5F065E"/>
    <w:rsid w:val="0FE7686F"/>
    <w:rsid w:val="134E69EB"/>
    <w:rsid w:val="13CA6FDE"/>
    <w:rsid w:val="16273291"/>
    <w:rsid w:val="170601EC"/>
    <w:rsid w:val="17B1375A"/>
    <w:rsid w:val="191861B7"/>
    <w:rsid w:val="1A1044D2"/>
    <w:rsid w:val="1A707B4D"/>
    <w:rsid w:val="1AC92B69"/>
    <w:rsid w:val="1AEF63D6"/>
    <w:rsid w:val="1DC75A85"/>
    <w:rsid w:val="1DF8587E"/>
    <w:rsid w:val="1E7D1ED1"/>
    <w:rsid w:val="1F11027F"/>
    <w:rsid w:val="22BE4F7D"/>
    <w:rsid w:val="23392571"/>
    <w:rsid w:val="23897339"/>
    <w:rsid w:val="24340046"/>
    <w:rsid w:val="2560472E"/>
    <w:rsid w:val="27117D71"/>
    <w:rsid w:val="27AA4D24"/>
    <w:rsid w:val="28786ABB"/>
    <w:rsid w:val="292673D8"/>
    <w:rsid w:val="29B41D05"/>
    <w:rsid w:val="2BA07916"/>
    <w:rsid w:val="2C994A91"/>
    <w:rsid w:val="31A417A7"/>
    <w:rsid w:val="326F1DF0"/>
    <w:rsid w:val="35154ED0"/>
    <w:rsid w:val="35C72188"/>
    <w:rsid w:val="37083255"/>
    <w:rsid w:val="397A6A2C"/>
    <w:rsid w:val="3DFA2EB5"/>
    <w:rsid w:val="417C312A"/>
    <w:rsid w:val="422D0F9E"/>
    <w:rsid w:val="42D81437"/>
    <w:rsid w:val="44006983"/>
    <w:rsid w:val="454159B0"/>
    <w:rsid w:val="45CD1E13"/>
    <w:rsid w:val="45FE550D"/>
    <w:rsid w:val="4B0233A9"/>
    <w:rsid w:val="4CC4707B"/>
    <w:rsid w:val="4D537EEC"/>
    <w:rsid w:val="4DCE15E3"/>
    <w:rsid w:val="4F9F68AD"/>
    <w:rsid w:val="517778ED"/>
    <w:rsid w:val="53113DBD"/>
    <w:rsid w:val="535718E5"/>
    <w:rsid w:val="58DB788F"/>
    <w:rsid w:val="59C574E3"/>
    <w:rsid w:val="5AB0652F"/>
    <w:rsid w:val="5B90055D"/>
    <w:rsid w:val="5BCB0791"/>
    <w:rsid w:val="5E8E347A"/>
    <w:rsid w:val="60D404FD"/>
    <w:rsid w:val="66090F0F"/>
    <w:rsid w:val="685E2BF0"/>
    <w:rsid w:val="690651BF"/>
    <w:rsid w:val="69B272AB"/>
    <w:rsid w:val="6AFC784C"/>
    <w:rsid w:val="6CDB1F80"/>
    <w:rsid w:val="6D357A21"/>
    <w:rsid w:val="6E6733A0"/>
    <w:rsid w:val="6FC04FC8"/>
    <w:rsid w:val="71782B00"/>
    <w:rsid w:val="745428F1"/>
    <w:rsid w:val="7610431D"/>
    <w:rsid w:val="762D3C77"/>
    <w:rsid w:val="77390B56"/>
    <w:rsid w:val="7DC75B92"/>
    <w:rsid w:val="7EF60F08"/>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bCs/>
      <w:kern w:val="44"/>
      <w:sz w:val="44"/>
      <w:szCs w:val="44"/>
      <w:lang w:val="en-US" w:eastAsia="zh-CN" w:bidi="ar-SA"/>
    </w:rPr>
  </w:style>
  <w:style w:type="paragraph" w:styleId="5">
    <w:name w:val="heading 2"/>
    <w:next w:val="6"/>
    <w:qFormat/>
    <w:uiPriority w:val="0"/>
    <w:pPr>
      <w:keepNext/>
      <w:keepLines/>
      <w:widowControl w:val="0"/>
      <w:tabs>
        <w:tab w:val="left" w:pos="180"/>
        <w:tab w:val="left" w:pos="360"/>
        <w:tab w:val="left" w:pos="720"/>
      </w:tabs>
      <w:adjustRightInd w:val="0"/>
      <w:spacing w:before="240" w:line="360" w:lineRule="auto"/>
      <w:ind w:left="1440" w:rightChars="400" w:hanging="720"/>
      <w:jc w:val="left"/>
      <w:outlineLvl w:val="1"/>
    </w:pPr>
    <w:rPr>
      <w:rFonts w:ascii="宋体" w:hAnsi="Arial" w:eastAsia="宋体" w:cs="Times New Roman"/>
      <w:b/>
      <w:kern w:val="0"/>
      <w:sz w:val="28"/>
      <w:szCs w:val="20"/>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toc 5"/>
    <w:basedOn w:val="1"/>
    <w:next w:val="1"/>
    <w:qFormat/>
    <w:uiPriority w:val="39"/>
    <w:pPr>
      <w:ind w:left="1680" w:leftChars="800"/>
    </w:pPr>
  </w:style>
  <w:style w:type="paragraph" w:styleId="6">
    <w:name w:val="Normal Indent"/>
    <w:next w:val="7"/>
    <w:qFormat/>
    <w:uiPriority w:val="0"/>
    <w:pPr>
      <w:widowControl/>
      <w:ind w:firstLine="420"/>
      <w:jc w:val="left"/>
    </w:pPr>
    <w:rPr>
      <w:rFonts w:ascii="Times New Roman" w:hAnsi="Times New Roman" w:eastAsia="宋体" w:cs="Times New Roman"/>
      <w:kern w:val="0"/>
      <w:sz w:val="21"/>
      <w:szCs w:val="20"/>
      <w:lang w:val="en-US" w:eastAsia="zh-CN" w:bidi="ar-SA"/>
    </w:rPr>
  </w:style>
  <w:style w:type="paragraph" w:styleId="7">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8">
    <w:name w:val="toa heading"/>
    <w:next w:val="1"/>
    <w:qFormat/>
    <w:uiPriority w:val="0"/>
    <w:pPr>
      <w:widowControl w:val="0"/>
      <w:autoSpaceDE w:val="0"/>
      <w:autoSpaceDN w:val="0"/>
      <w:adjustRightInd w:val="0"/>
      <w:snapToGrid w:val="0"/>
      <w:spacing w:before="120" w:line="360" w:lineRule="auto"/>
      <w:jc w:val="both"/>
    </w:pPr>
    <w:rPr>
      <w:rFonts w:ascii="Arial" w:hAnsi="Arial" w:eastAsia="宋体" w:cs="Times New Roman"/>
      <w:snapToGrid w:val="0"/>
      <w:color w:val="000000"/>
      <w:kern w:val="0"/>
      <w:sz w:val="21"/>
      <w:szCs w:val="20"/>
      <w:lang w:val="en-US" w:eastAsia="zh-CN" w:bidi="ar-SA"/>
    </w:rPr>
  </w:style>
  <w:style w:type="paragraph" w:styleId="9">
    <w:name w:val="annotation text"/>
    <w:basedOn w:val="1"/>
    <w:qFormat/>
    <w:uiPriority w:val="0"/>
    <w:pPr>
      <w:jc w:val="left"/>
    </w:pPr>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_Style 3"/>
    <w:qFormat/>
    <w:uiPriority w:val="0"/>
    <w:pPr>
      <w:widowControl w:val="0"/>
      <w:ind w:firstLine="420" w:firstLineChars="200"/>
      <w:jc w:val="both"/>
    </w:pPr>
    <w:rPr>
      <w:rFonts w:ascii="Calibri" w:hAnsi="Calibri" w:eastAsia="宋体" w:cs="Calibri"/>
      <w:kern w:val="2"/>
      <w:sz w:val="21"/>
      <w:szCs w:val="21"/>
      <w:lang w:val="en-US" w:eastAsia="zh-CN" w:bidi="ar-SA"/>
    </w:rPr>
  </w:style>
  <w:style w:type="paragraph" w:customStyle="1" w:styleId="15">
    <w:name w:val="table of authorities1"/>
    <w:basedOn w:val="1"/>
    <w:next w:val="1"/>
    <w:qFormat/>
    <w:uiPriority w:val="99"/>
    <w:pPr>
      <w:ind w:left="420" w:leftChars="200"/>
    </w:pPr>
    <w:rPr>
      <w:rFonts w:ascii="Calibri" w:hAnsi="Calibri" w:eastAsia="宋体" w:cs="Times New Roman"/>
      <w:szCs w:val="24"/>
    </w:rPr>
  </w:style>
  <w:style w:type="paragraph" w:customStyle="1" w:styleId="16">
    <w:name w:val="List Paragraph1"/>
    <w:basedOn w:val="1"/>
    <w:qFormat/>
    <w:uiPriority w:val="99"/>
    <w:pPr>
      <w:ind w:firstLine="420" w:firstLineChars="200"/>
    </w:pPr>
  </w:style>
  <w:style w:type="paragraph" w:customStyle="1" w:styleId="17">
    <w:name w:val="引文目录标题1"/>
    <w:basedOn w:val="1"/>
    <w:next w:val="1"/>
    <w:qFormat/>
    <w:uiPriority w:val="0"/>
    <w:pPr>
      <w:widowControl w:val="0"/>
      <w:spacing w:before="120"/>
      <w:jc w:val="both"/>
    </w:pPr>
    <w:rPr>
      <w:rFonts w:ascii="Arial" w:hAnsi="Arial" w:cs="Arial"/>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10466</Words>
  <Characters>10727</Characters>
  <Lines>0</Lines>
  <Paragraphs>0</Paragraphs>
  <TotalTime>15</TotalTime>
  <ScaleCrop>false</ScaleCrop>
  <LinksUpToDate>false</LinksUpToDate>
  <CharactersWithSpaces>10727</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2024-06-25T06:48:00Z</dcterms:created>
  <dc:creator>QPY</dc:creator>
  <cp:lastModifiedBy>黎志芳</cp:lastModifiedBy>
  <dcterms:modified xsi:type="dcterms:W3CDTF">2024-07-29T01:09:27Z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A457FD26DE1141FF8F00C466BA54D992_13</vt:lpwstr>
  </property>
</Properties>
</file>