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outlineLvl w:val="0"/>
        <w:rPr>
          <w:rFonts w:ascii="方正小标宋简体" w:hAnsi="方正小标宋简体" w:eastAsia="方正小标宋简体" w:cs="方正小标宋简体"/>
          <w:spacing w:val="-6"/>
          <w:kern w:val="0"/>
          <w:sz w:val="44"/>
          <w:szCs w:val="44"/>
          <w:highlight w:val="none"/>
        </w:rPr>
      </w:pPr>
      <w:r>
        <w:rPr>
          <w:rFonts w:hint="eastAsia" w:ascii="方正小标宋简体" w:hAnsi="方正小标宋简体" w:eastAsia="方正小标宋简体" w:cs="方正小标宋简体"/>
          <w:spacing w:val="-6"/>
          <w:sz w:val="44"/>
          <w:szCs w:val="44"/>
          <w:highlight w:val="none"/>
        </w:rPr>
        <w:t>中山市沙溪镇康乐村岗背股份合作经济社“工改工”宗地项目“三旧”改造方案</w:t>
      </w:r>
    </w:p>
    <w:p>
      <w:pPr>
        <w:spacing w:line="574" w:lineRule="exact"/>
        <w:ind w:firstLine="924" w:firstLineChars="300"/>
        <w:rPr>
          <w:rFonts w:ascii="仿宋_GB2312" w:hAnsi="仿宋_GB2312" w:eastAsia="仿宋_GB2312" w:cs="仿宋_GB2312"/>
          <w:spacing w:val="-6"/>
          <w:kern w:val="0"/>
          <w:sz w:val="32"/>
          <w:szCs w:val="32"/>
          <w:highlight w:val="none"/>
        </w:rPr>
      </w:pPr>
    </w:p>
    <w:p>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sz w:val="32"/>
          <w:highlight w:val="none"/>
        </w:rPr>
        <w:t>根据中山市城市更新（“三旧”改造）专项规划和控制性详细规划</w:t>
      </w:r>
      <w:r>
        <w:rPr>
          <w:rFonts w:hint="eastAsia" w:ascii="仿宋_GB2312" w:hAnsi="仿宋_GB2312" w:eastAsia="仿宋_GB2312" w:cs="仿宋_GB2312"/>
          <w:spacing w:val="-6"/>
          <w:kern w:val="0"/>
          <w:sz w:val="32"/>
          <w:szCs w:val="32"/>
          <w:highlight w:val="none"/>
        </w:rPr>
        <w:t>，沙溪镇人民政府拟对位于沙溪镇岗背村的中山市沙溪镇康乐村岗背股份合作经济社（下称“岗背经济社”）旧厂房用地进行改造，由岗背经济社自行改造，采取全面改造的改造方式。改造方案如下：</w:t>
      </w:r>
    </w:p>
    <w:p>
      <w:pPr>
        <w:spacing w:line="574" w:lineRule="exact"/>
        <w:ind w:firstLine="616" w:firstLineChars="200"/>
        <w:outlineLvl w:val="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一、改造地块基本情况</w:t>
      </w:r>
    </w:p>
    <w:p>
      <w:pPr>
        <w:spacing w:line="574" w:lineRule="exact"/>
        <w:ind w:firstLine="616" w:firstLineChars="200"/>
        <w:outlineLvl w:val="1"/>
        <w:rPr>
          <w:rFonts w:ascii="楷体" w:hAnsi="楷体" w:eastAsia="楷体" w:cs="楷体"/>
          <w:spacing w:val="-6"/>
          <w:sz w:val="32"/>
          <w:szCs w:val="32"/>
          <w:highlight w:val="none"/>
        </w:rPr>
      </w:pPr>
      <w:r>
        <w:rPr>
          <w:rFonts w:hint="eastAsia" w:ascii="楷体" w:hAnsi="楷体" w:eastAsia="楷体" w:cs="楷体"/>
          <w:spacing w:val="-6"/>
          <w:sz w:val="32"/>
          <w:szCs w:val="32"/>
          <w:highlight w:val="none"/>
        </w:rPr>
        <w:t>（一）总体情况</w:t>
      </w:r>
    </w:p>
    <w:p>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sz w:val="32"/>
          <w:szCs w:val="32"/>
          <w:highlight w:val="none"/>
        </w:rPr>
        <w:t>改造项目地块</w:t>
      </w:r>
      <w:r>
        <w:rPr>
          <w:rFonts w:hint="eastAsia" w:ascii="仿宋_GB2312" w:hAnsi="仿宋_GB2312" w:eastAsia="仿宋_GB2312" w:cs="仿宋_GB2312"/>
          <w:spacing w:val="-6"/>
          <w:kern w:val="0"/>
          <w:sz w:val="32"/>
          <w:szCs w:val="32"/>
          <w:highlight w:val="none"/>
        </w:rPr>
        <w:t>位于沙溪镇岗背村，北至现状道路，南至棚房，东至现状道路，西至旗峰路，用地总面积</w:t>
      </w:r>
      <w:r>
        <w:rPr>
          <w:rFonts w:hint="eastAsia" w:ascii="仿宋_GB2312" w:hAnsi="仿宋_GB2312" w:eastAsia="仿宋_GB2312" w:cs="仿宋_GB2312"/>
          <w:spacing w:val="-6"/>
          <w:sz w:val="32"/>
          <w:szCs w:val="32"/>
          <w:highlight w:val="none"/>
          <w:shd w:val="clear" w:color="auto" w:fill="FFFFFF"/>
        </w:rPr>
        <w:t>1.4602公顷（14601.88平方米，折合约21.90亩）</w:t>
      </w:r>
      <w:r>
        <w:rPr>
          <w:rFonts w:hint="eastAsia" w:ascii="仿宋_GB2312" w:hAnsi="仿宋_GB2312" w:eastAsia="仿宋_GB2312" w:cs="仿宋_GB2312"/>
          <w:spacing w:val="-6"/>
          <w:kern w:val="0"/>
          <w:sz w:val="32"/>
          <w:szCs w:val="32"/>
          <w:highlight w:val="none"/>
        </w:rPr>
        <w:t>。</w:t>
      </w:r>
    </w:p>
    <w:p>
      <w:pPr>
        <w:spacing w:line="574" w:lineRule="exact"/>
        <w:ind w:firstLine="616" w:firstLineChars="200"/>
        <w:outlineLvl w:val="1"/>
        <w:rPr>
          <w:rFonts w:ascii="楷体" w:hAnsi="楷体" w:eastAsia="楷体" w:cs="楷体"/>
          <w:spacing w:val="-6"/>
          <w:sz w:val="32"/>
          <w:szCs w:val="32"/>
          <w:highlight w:val="none"/>
        </w:rPr>
      </w:pPr>
      <w:r>
        <w:rPr>
          <w:rFonts w:hint="eastAsia" w:ascii="楷体" w:hAnsi="楷体" w:eastAsia="楷体" w:cs="楷体"/>
          <w:spacing w:val="-6"/>
          <w:sz w:val="32"/>
          <w:szCs w:val="32"/>
          <w:highlight w:val="none"/>
        </w:rPr>
        <w:t>（二）标图入库情况</w:t>
      </w:r>
    </w:p>
    <w:p>
      <w:pPr>
        <w:spacing w:line="574" w:lineRule="exact"/>
        <w:ind w:firstLine="616" w:firstLineChars="200"/>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改造地块</w:t>
      </w:r>
      <w:r>
        <w:rPr>
          <w:rFonts w:hint="eastAsia" w:ascii="Times New Roman" w:hAnsi="Times New Roman" w:eastAsia="仿宋_GB2312"/>
          <w:sz w:val="32"/>
          <w:szCs w:val="32"/>
          <w:highlight w:val="none"/>
        </w:rPr>
        <w:t>正在同步推进办理</w:t>
      </w:r>
      <w:r>
        <w:rPr>
          <w:rFonts w:hint="eastAsia" w:ascii="仿宋_GB2312" w:hAnsi="仿宋_GB2312" w:eastAsia="仿宋_GB2312" w:cs="仿宋_GB2312"/>
          <w:sz w:val="32"/>
          <w:szCs w:val="32"/>
          <w:highlight w:val="none"/>
        </w:rPr>
        <w:t>“三旧”</w:t>
      </w:r>
      <w:r>
        <w:rPr>
          <w:rFonts w:hint="eastAsia" w:ascii="Times New Roman" w:hAnsi="Times New Roman" w:eastAsia="仿宋_GB2312"/>
          <w:sz w:val="32"/>
          <w:szCs w:val="32"/>
          <w:highlight w:val="none"/>
        </w:rPr>
        <w:t>标图入库手续</w:t>
      </w:r>
      <w:r>
        <w:rPr>
          <w:rFonts w:hint="eastAsia" w:ascii="仿宋_GB2312" w:hAnsi="仿宋_GB2312" w:eastAsia="仿宋_GB2312" w:cs="仿宋_GB2312"/>
          <w:spacing w:val="-6"/>
          <w:kern w:val="0"/>
          <w:sz w:val="32"/>
          <w:szCs w:val="32"/>
          <w:highlight w:val="none"/>
        </w:rPr>
        <w:t>，图斑编号拟为</w:t>
      </w:r>
      <w:r>
        <w:rPr>
          <w:rFonts w:ascii="仿宋_GB2312" w:hAnsi="仿宋_GB2312" w:eastAsia="仿宋_GB2312" w:cs="仿宋_GB2312"/>
          <w:spacing w:val="-6"/>
          <w:kern w:val="0"/>
          <w:sz w:val="32"/>
          <w:szCs w:val="32"/>
          <w:highlight w:val="none"/>
        </w:rPr>
        <w:t>44200071561</w:t>
      </w:r>
      <w:r>
        <w:rPr>
          <w:rFonts w:hint="eastAsia" w:ascii="仿宋_GB2312" w:hAnsi="仿宋_GB2312" w:eastAsia="仿宋_GB2312" w:cs="仿宋_GB2312"/>
          <w:spacing w:val="-6"/>
          <w:kern w:val="0"/>
          <w:sz w:val="32"/>
          <w:szCs w:val="32"/>
          <w:highlight w:val="none"/>
        </w:rPr>
        <w:t>、</w:t>
      </w:r>
      <w:r>
        <w:rPr>
          <w:rFonts w:ascii="仿宋_GB2312" w:hAnsi="仿宋_GB2312" w:eastAsia="仿宋_GB2312" w:cs="仿宋_GB2312"/>
          <w:spacing w:val="-6"/>
          <w:kern w:val="0"/>
          <w:sz w:val="32"/>
          <w:szCs w:val="32"/>
          <w:highlight w:val="none"/>
        </w:rPr>
        <w:t>44200071562</w:t>
      </w:r>
      <w:r>
        <w:rPr>
          <w:rFonts w:hint="eastAsia" w:ascii="仿宋_GB2312" w:hAnsi="仿宋_GB2312" w:eastAsia="仿宋_GB2312" w:cs="仿宋_GB2312"/>
          <w:spacing w:val="-6"/>
          <w:kern w:val="0"/>
          <w:sz w:val="32"/>
          <w:szCs w:val="32"/>
          <w:highlight w:val="none"/>
        </w:rPr>
        <w:t>，拟纳入</w:t>
      </w:r>
      <w:r>
        <w:rPr>
          <w:rFonts w:hint="eastAsia" w:ascii="仿宋_GB2312" w:hAnsi="仿宋_GB2312" w:eastAsia="仿宋_GB2312" w:cs="仿宋_GB2312"/>
          <w:spacing w:val="-6"/>
          <w:sz w:val="32"/>
          <w:szCs w:val="32"/>
          <w:highlight w:val="none"/>
        </w:rPr>
        <w:t>图斑面积共</w:t>
      </w:r>
      <w:r>
        <w:rPr>
          <w:rFonts w:hint="eastAsia" w:ascii="仿宋_GB2312" w:hAnsi="仿宋_GB2312" w:eastAsia="仿宋_GB2312" w:cs="仿宋_GB2312"/>
          <w:spacing w:val="-6"/>
          <w:sz w:val="32"/>
          <w:szCs w:val="32"/>
          <w:highlight w:val="none"/>
          <w:shd w:val="clear" w:color="auto" w:fill="FFFFFF"/>
        </w:rPr>
        <w:t>1.4602公顷（14601.88平方米，折合约21.90亩）</w:t>
      </w:r>
      <w:r>
        <w:rPr>
          <w:rFonts w:hint="eastAsia" w:ascii="仿宋_GB2312" w:hAnsi="仿宋_GB2312" w:eastAsia="仿宋_GB2312" w:cs="仿宋_GB2312"/>
          <w:spacing w:val="-6"/>
          <w:sz w:val="32"/>
          <w:szCs w:val="32"/>
          <w:highlight w:val="none"/>
        </w:rPr>
        <w:t>，项目用地全部纳入本次改造范围。</w:t>
      </w:r>
    </w:p>
    <w:p>
      <w:pPr>
        <w:spacing w:line="574" w:lineRule="exact"/>
        <w:ind w:firstLine="616" w:firstLineChars="200"/>
        <w:outlineLvl w:val="1"/>
        <w:rPr>
          <w:rFonts w:ascii="楷体" w:hAnsi="楷体" w:eastAsia="楷体" w:cs="楷体"/>
          <w:spacing w:val="-6"/>
          <w:sz w:val="32"/>
          <w:szCs w:val="32"/>
          <w:highlight w:val="none"/>
        </w:rPr>
      </w:pPr>
      <w:r>
        <w:rPr>
          <w:rFonts w:hint="eastAsia" w:ascii="楷体" w:hAnsi="楷体" w:eastAsia="楷体" w:cs="楷体"/>
          <w:spacing w:val="-6"/>
          <w:sz w:val="32"/>
          <w:szCs w:val="32"/>
          <w:highlight w:val="none"/>
        </w:rPr>
        <w:t>（三）权属情况</w:t>
      </w:r>
    </w:p>
    <w:p>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改造地块涉及1宗集体建设用地和1宗已确权、未办理土地使用权证的集体所有土地。其中：</w:t>
      </w:r>
    </w:p>
    <w:p>
      <w:pPr>
        <w:spacing w:line="574" w:lineRule="exact"/>
        <w:ind w:firstLine="616"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地块一已经确权、登记，土地使用权证号为</w:t>
      </w:r>
      <w:r>
        <w:rPr>
          <w:rFonts w:hint="eastAsia" w:ascii="仿宋_GB2312" w:hAnsi="仿宋_GB2312" w:eastAsia="仿宋_GB2312" w:cs="仿宋_GB2312"/>
          <w:spacing w:val="-6"/>
          <w:kern w:val="0"/>
          <w:sz w:val="32"/>
          <w:szCs w:val="32"/>
          <w:highlight w:val="none"/>
        </w:rPr>
        <w:t>中府集用（2008）第240944号，属中山市沙溪镇康乐村岗背股份合作经济社名下工业用地，</w:t>
      </w:r>
      <w:r>
        <w:rPr>
          <w:rFonts w:hint="eastAsia" w:ascii="仿宋_GB2312" w:hAnsi="仿宋_GB2312" w:eastAsia="仿宋_GB2312" w:cs="仿宋_GB2312"/>
          <w:spacing w:val="-6"/>
          <w:sz w:val="32"/>
          <w:szCs w:val="32"/>
          <w:highlight w:val="none"/>
        </w:rPr>
        <w:t>用地面积</w:t>
      </w:r>
      <w:r>
        <w:rPr>
          <w:rFonts w:hint="eastAsia" w:ascii="仿宋_GB2312" w:hAnsi="仿宋_GB2312" w:eastAsia="仿宋_GB2312" w:cs="仿宋_GB2312"/>
          <w:spacing w:val="-6"/>
          <w:kern w:val="0"/>
          <w:sz w:val="32"/>
          <w:szCs w:val="32"/>
          <w:highlight w:val="none"/>
        </w:rPr>
        <w:t>12948.7</w:t>
      </w:r>
      <w:r>
        <w:rPr>
          <w:rFonts w:hint="eastAsia" w:ascii="仿宋_GB2312" w:hAnsi="仿宋_GB2312" w:eastAsia="仿宋_GB2312" w:cs="仿宋_GB2312"/>
          <w:spacing w:val="-6"/>
          <w:sz w:val="32"/>
          <w:szCs w:val="32"/>
          <w:highlight w:val="none"/>
        </w:rPr>
        <w:t>平方米，纳入改造范围面积为12948.7平方米。</w:t>
      </w:r>
    </w:p>
    <w:p>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sz w:val="32"/>
          <w:szCs w:val="32"/>
          <w:highlight w:val="none"/>
        </w:rPr>
        <w:t>地块二已确权、未办理土地使用权登记，</w:t>
      </w:r>
      <w:r>
        <w:rPr>
          <w:rFonts w:hint="eastAsia" w:ascii="仿宋_GB2312" w:hAnsi="仿宋_GB2312" w:eastAsia="仿宋_GB2312" w:cs="仿宋_GB2312"/>
          <w:spacing w:val="-6"/>
          <w:kern w:val="0"/>
          <w:sz w:val="32"/>
          <w:szCs w:val="32"/>
          <w:highlight w:val="none"/>
        </w:rPr>
        <w:t>土地所有权证号为中府集有（2015）第2400004号，属中山市沙溪镇康乐村岗背股份合作经济社名下所有土地，</w:t>
      </w:r>
      <w:r>
        <w:rPr>
          <w:rFonts w:hint="eastAsia" w:ascii="仿宋_GB2312" w:hAnsi="仿宋_GB2312" w:eastAsia="仿宋_GB2312" w:cs="仿宋_GB2312"/>
          <w:spacing w:val="-6"/>
          <w:sz w:val="32"/>
          <w:szCs w:val="32"/>
          <w:highlight w:val="none"/>
        </w:rPr>
        <w:t>纳入改造范围面积</w:t>
      </w:r>
      <w:r>
        <w:rPr>
          <w:rFonts w:hint="eastAsia" w:ascii="仿宋_GB2312" w:hAnsi="仿宋_GB2312" w:eastAsia="仿宋_GB2312" w:cs="仿宋_GB2312"/>
          <w:spacing w:val="-6"/>
          <w:kern w:val="0"/>
          <w:sz w:val="32"/>
          <w:szCs w:val="32"/>
          <w:highlight w:val="none"/>
        </w:rPr>
        <w:t>1653.18平方米。</w:t>
      </w:r>
    </w:p>
    <w:p>
      <w:pPr>
        <w:spacing w:line="574" w:lineRule="exact"/>
        <w:ind w:firstLine="616" w:firstLineChars="200"/>
        <w:outlineLvl w:val="1"/>
        <w:rPr>
          <w:rFonts w:ascii="楷体" w:hAnsi="楷体" w:eastAsia="楷体" w:cs="楷体"/>
          <w:spacing w:val="-6"/>
          <w:sz w:val="32"/>
          <w:szCs w:val="32"/>
          <w:highlight w:val="none"/>
        </w:rPr>
      </w:pPr>
      <w:r>
        <w:rPr>
          <w:rFonts w:hint="eastAsia" w:ascii="楷体" w:hAnsi="楷体" w:eastAsia="楷体" w:cs="楷体"/>
          <w:spacing w:val="-6"/>
          <w:sz w:val="32"/>
          <w:szCs w:val="32"/>
          <w:highlight w:val="none"/>
        </w:rPr>
        <w:t>（四）土地利用现状情况</w:t>
      </w:r>
    </w:p>
    <w:p>
      <w:pPr>
        <w:spacing w:line="574" w:lineRule="exact"/>
        <w:ind w:firstLine="616" w:firstLineChars="200"/>
        <w:rPr>
          <w:rFonts w:ascii="Times New Roman" w:hAnsi="Times New Roman" w:eastAsia="仿宋_GB2312" w:cs="仿宋_GB2312"/>
          <w:sz w:val="32"/>
          <w:szCs w:val="32"/>
          <w:highlight w:val="none"/>
        </w:rPr>
      </w:pPr>
      <w:r>
        <w:rPr>
          <w:rFonts w:ascii="Times New Roman" w:hAnsi="Times New Roman" w:eastAsia="仿宋_GB2312"/>
          <w:spacing w:val="-6"/>
          <w:sz w:val="32"/>
          <w:highlight w:val="none"/>
        </w:rPr>
        <w:t>改造地块中</w:t>
      </w:r>
      <w:r>
        <w:rPr>
          <w:rFonts w:hint="eastAsia" w:ascii="Times New Roman" w:hAnsi="Times New Roman" w:eastAsia="仿宋_GB2312"/>
          <w:spacing w:val="-6"/>
          <w:sz w:val="32"/>
          <w:highlight w:val="none"/>
        </w:rPr>
        <w:t>地块二未完善建设用地手续，所有地块</w:t>
      </w:r>
      <w:r>
        <w:rPr>
          <w:rFonts w:hint="eastAsia" w:ascii="Times New Roman" w:hAnsi="Times New Roman" w:eastAsia="仿宋_GB2312"/>
          <w:spacing w:val="-6"/>
          <w:sz w:val="32"/>
          <w:szCs w:val="32"/>
          <w:highlight w:val="none"/>
        </w:rPr>
        <w:t>在“二调”及最新土地利用现状</w:t>
      </w:r>
      <w:r>
        <w:rPr>
          <w:rFonts w:hint="eastAsia" w:ascii="Times New Roman" w:hAnsi="Times New Roman" w:eastAsia="仿宋_GB2312"/>
          <w:spacing w:val="-6"/>
          <w:sz w:val="32"/>
          <w:highlight w:val="none"/>
        </w:rPr>
        <w:t>均</w:t>
      </w:r>
      <w:r>
        <w:rPr>
          <w:rFonts w:ascii="Times New Roman" w:hAnsi="Times New Roman" w:eastAsia="仿宋_GB2312"/>
          <w:spacing w:val="-6"/>
          <w:sz w:val="32"/>
          <w:highlight w:val="none"/>
        </w:rPr>
        <w:t>为建设用地</w:t>
      </w:r>
      <w:r>
        <w:rPr>
          <w:rFonts w:hint="eastAsia" w:ascii="Times New Roman" w:hAnsi="Times New Roman" w:eastAsia="仿宋_GB2312" w:cs="仿宋_GB2312"/>
          <w:sz w:val="32"/>
          <w:szCs w:val="32"/>
          <w:highlight w:val="none"/>
        </w:rPr>
        <w:t>。不涉及纳入改造范围整体利用的边角地、夹心地、插花地、其他用地、征地留用地、与原“三旧”用地置换的“三旧”用地或其他存量建设用地、使用原“三旧”用地复垦产生的规模或指标的非建设用地。</w:t>
      </w:r>
    </w:p>
    <w:p>
      <w:pPr>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改造地块现有6栋建（构）筑物，主要为简易棚房和铁皮房，为岗背经济社自2007年开始使用。建（构）筑物未办理规划报建等手续，现状容积率约0.17，作工业用途所用。该地块目前尚未拆除，改造前年产值为300万元（约13.7万元/亩），年税收为6万元（约0.27万元/亩）。</w:t>
      </w:r>
    </w:p>
    <w:p>
      <w:pPr>
        <w:spacing w:line="574" w:lineRule="exact"/>
        <w:ind w:firstLine="640" w:firstLineChars="200"/>
        <w:rPr>
          <w:rFonts w:ascii="Times New Roman" w:hAnsi="Times New Roman" w:eastAsia="仿宋_GB2312"/>
          <w:sz w:val="32"/>
          <w:szCs w:val="32"/>
          <w:highlight w:val="none"/>
        </w:rPr>
      </w:pPr>
      <w:r>
        <w:rPr>
          <w:rFonts w:hint="eastAsia" w:ascii="仿宋_GB2312" w:hAnsi="仿宋_GB2312" w:eastAsia="仿宋_GB2312" w:cs="仿宋_GB2312"/>
          <w:sz w:val="32"/>
          <w:szCs w:val="40"/>
          <w:highlight w:val="none"/>
        </w:rPr>
        <w:t>改造地块不涉及抵押、闲置、历史文化资源要素、土壤环境潜在监管地块等情况。</w:t>
      </w:r>
      <w:r>
        <w:rPr>
          <w:rFonts w:hint="eastAsia" w:ascii="仿宋_GB2312" w:hAnsi="仿宋_GB2312" w:eastAsia="仿宋_GB2312" w:cs="仿宋_GB2312"/>
          <w:spacing w:val="-6"/>
          <w:kern w:val="0"/>
          <w:sz w:val="32"/>
          <w:szCs w:val="32"/>
          <w:highlight w:val="none"/>
        </w:rPr>
        <w:t>目前改造地块中地块二正在办理违法用地处罚</w:t>
      </w:r>
      <w:r>
        <w:rPr>
          <w:rFonts w:hint="eastAsia" w:ascii="Times New Roman" w:hAnsi="Times New Roman" w:eastAsia="仿宋_GB2312"/>
          <w:spacing w:val="-6"/>
          <w:kern w:val="0"/>
          <w:sz w:val="32"/>
          <w:szCs w:val="32"/>
          <w:highlight w:val="none"/>
        </w:rPr>
        <w:t>。</w:t>
      </w:r>
    </w:p>
    <w:p>
      <w:pPr>
        <w:spacing w:line="574" w:lineRule="exact"/>
        <w:ind w:firstLine="616" w:firstLineChars="200"/>
        <w:outlineLvl w:val="1"/>
        <w:rPr>
          <w:rFonts w:ascii="楷体" w:hAnsi="楷体" w:eastAsia="楷体" w:cs="楷体"/>
          <w:spacing w:val="-6"/>
          <w:sz w:val="32"/>
          <w:szCs w:val="32"/>
          <w:highlight w:val="none"/>
        </w:rPr>
      </w:pPr>
      <w:r>
        <w:rPr>
          <w:rFonts w:hint="eastAsia" w:ascii="楷体" w:hAnsi="楷体" w:eastAsia="楷体" w:cs="楷体"/>
          <w:spacing w:val="-6"/>
          <w:sz w:val="32"/>
          <w:szCs w:val="32"/>
          <w:highlight w:val="none"/>
        </w:rPr>
        <w:t>（五）规划情况</w:t>
      </w:r>
    </w:p>
    <w:p>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改造地块均符合国土空间总体规划和控制性详细规划，已纳入《中山市城市更新（“三旧”改造）专项规划（2020-2035年）》。其中，</w:t>
      </w:r>
      <w:r>
        <w:rPr>
          <w:rFonts w:hint="eastAsia" w:ascii="仿宋_GB2312" w:hAnsi="仿宋_GB2312" w:eastAsia="仿宋_GB2312" w:cs="仿宋_GB2312"/>
          <w:spacing w:val="-6"/>
          <w:sz w:val="32"/>
          <w:szCs w:val="32"/>
          <w:highlight w:val="none"/>
        </w:rPr>
        <w:t>在国土空间总体规划中，属城镇建设用地</w:t>
      </w:r>
      <w:r>
        <w:rPr>
          <w:rFonts w:hint="eastAsia" w:ascii="仿宋_GB2312" w:hAnsi="仿宋_GB2312" w:eastAsia="仿宋_GB2312" w:cs="仿宋_GB2312"/>
          <w:spacing w:val="-6"/>
          <w:sz w:val="32"/>
          <w:szCs w:val="32"/>
          <w:highlight w:val="none"/>
          <w:shd w:val="clear" w:color="auto" w:fill="FFFFFF"/>
        </w:rPr>
        <w:t>1.4602公顷（14601.88平方米，折合约21.90亩）</w:t>
      </w:r>
      <w:r>
        <w:rPr>
          <w:rFonts w:hint="eastAsia" w:ascii="仿宋_GB2312" w:hAnsi="仿宋_GB2312" w:eastAsia="仿宋_GB2312" w:cs="仿宋_GB2312"/>
          <w:spacing w:val="-6"/>
          <w:sz w:val="32"/>
          <w:szCs w:val="32"/>
          <w:highlight w:val="none"/>
        </w:rPr>
        <w:t>。在《中山市沙溪镇工业用地规划条件论证报告》（中府函〔2022〕230号）中，规划为一类工业用地1.4562公顷（14561.52平方米，折合约21.84亩），容积率1.0-3.5，建筑密度35%-60%，绿地率10%-15%，生产性建筑高度≤50米（特殊工艺除外），配套设施建筑高度≤100 米；城镇道路用地0.0040公顷（40.36平方米，折合约0.06亩）</w:t>
      </w:r>
      <w:r>
        <w:rPr>
          <w:rFonts w:hint="eastAsia" w:ascii="仿宋_GB2312" w:hAnsi="仿宋_GB2312" w:eastAsia="仿宋_GB2312" w:cs="仿宋_GB2312"/>
          <w:spacing w:val="-6"/>
          <w:kern w:val="0"/>
          <w:sz w:val="32"/>
          <w:szCs w:val="32"/>
          <w:highlight w:val="none"/>
        </w:rPr>
        <w:t>。</w:t>
      </w:r>
    </w:p>
    <w:p>
      <w:pPr>
        <w:spacing w:line="574" w:lineRule="exact"/>
        <w:ind w:firstLine="640"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kern w:val="0"/>
          <w:sz w:val="32"/>
          <w:szCs w:val="32"/>
          <w:highlight w:val="none"/>
        </w:rPr>
        <w:t>改造项目地块均位于</w:t>
      </w:r>
      <w:r>
        <w:rPr>
          <w:rFonts w:hint="eastAsia" w:ascii="仿宋_GB2312" w:hAnsi="仿宋_GB2312" w:eastAsia="仿宋_GB2312" w:cs="仿宋_GB2312"/>
          <w:sz w:val="32"/>
          <w:szCs w:val="32"/>
          <w:highlight w:val="none"/>
        </w:rPr>
        <w:t>城镇开发边界内，</w:t>
      </w:r>
      <w:r>
        <w:rPr>
          <w:rFonts w:hint="eastAsia" w:ascii="仿宋_GB2312" w:hAnsi="仿宋_GB2312" w:eastAsia="仿宋_GB2312" w:cs="仿宋_GB2312"/>
          <w:kern w:val="0"/>
          <w:sz w:val="32"/>
          <w:szCs w:val="32"/>
          <w:highlight w:val="none"/>
        </w:rPr>
        <w:t>不</w:t>
      </w:r>
      <w:r>
        <w:rPr>
          <w:rFonts w:hint="eastAsia" w:ascii="仿宋_GB2312" w:hAnsi="仿宋_GB2312" w:eastAsia="仿宋_GB2312" w:cs="仿宋_GB2312"/>
          <w:sz w:val="32"/>
          <w:szCs w:val="32"/>
          <w:highlight w:val="none"/>
        </w:rPr>
        <w:t>涉及永久基本农田、生态保护红线、森林资源等管控要求</w:t>
      </w:r>
      <w:r>
        <w:rPr>
          <w:rFonts w:hint="eastAsia" w:ascii="仿宋_GB2312" w:hAnsi="仿宋_GB2312" w:eastAsia="仿宋_GB2312" w:cs="仿宋_GB2312"/>
          <w:spacing w:val="-6"/>
          <w:sz w:val="32"/>
          <w:szCs w:val="32"/>
          <w:highlight w:val="none"/>
        </w:rPr>
        <w:t>。</w:t>
      </w:r>
    </w:p>
    <w:p>
      <w:pPr>
        <w:numPr>
          <w:ilvl w:val="0"/>
          <w:numId w:val="1"/>
        </w:numPr>
        <w:spacing w:line="574" w:lineRule="exact"/>
        <w:ind w:firstLine="616" w:firstLineChars="200"/>
        <w:outlineLvl w:val="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改造意愿情况及安置补偿情况</w:t>
      </w:r>
    </w:p>
    <w:p>
      <w:pPr>
        <w:spacing w:line="574" w:lineRule="exact"/>
        <w:ind w:firstLine="616" w:firstLineChars="200"/>
        <w:outlineLvl w:val="1"/>
        <w:rPr>
          <w:rFonts w:ascii="楷体" w:hAnsi="楷体" w:eastAsia="楷体" w:cs="楷体"/>
          <w:spacing w:val="-6"/>
          <w:kern w:val="0"/>
          <w:sz w:val="32"/>
          <w:szCs w:val="32"/>
          <w:highlight w:val="none"/>
        </w:rPr>
      </w:pPr>
      <w:r>
        <w:rPr>
          <w:rFonts w:hint="eastAsia" w:ascii="楷体" w:hAnsi="楷体" w:eastAsia="楷体" w:cs="楷体"/>
          <w:spacing w:val="-6"/>
          <w:kern w:val="0"/>
          <w:sz w:val="32"/>
          <w:szCs w:val="32"/>
          <w:highlight w:val="none"/>
        </w:rPr>
        <w:t>（一）改造意愿情况</w:t>
      </w:r>
    </w:p>
    <w:p>
      <w:pPr>
        <w:spacing w:line="574"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改造范围涉及</w:t>
      </w:r>
      <w:r>
        <w:rPr>
          <w:rFonts w:hint="eastAsia" w:ascii="仿宋_GB2312" w:hAnsi="仿宋_GB2312" w:eastAsia="仿宋_GB2312" w:cs="仿宋_GB2312"/>
          <w:spacing w:val="-6"/>
          <w:kern w:val="0"/>
          <w:sz w:val="32"/>
          <w:szCs w:val="32"/>
          <w:highlight w:val="none"/>
        </w:rPr>
        <w:t>中山市沙溪镇康乐村岗背股份合作经济社</w:t>
      </w:r>
      <w:r>
        <w:rPr>
          <w:rFonts w:hint="eastAsia" w:ascii="Times New Roman" w:hAnsi="Times New Roman" w:eastAsia="仿宋_GB2312" w:cs="仿宋_GB2312"/>
          <w:sz w:val="32"/>
          <w:szCs w:val="32"/>
          <w:highlight w:val="none"/>
        </w:rPr>
        <w:t>一个权利主体，沙溪镇政府按照法律法规及我市城市更新（“三旧”改造）政策规定，就改造范围、土地现状、改造主体及拟改造情况等事项充分征求上述农民集体的改造意愿，经岗背经济社三分之二以上村民代表表决，同意将涉及土地、房屋纳入改造范围。</w:t>
      </w:r>
    </w:p>
    <w:p>
      <w:pPr>
        <w:numPr>
          <w:ilvl w:val="0"/>
          <w:numId w:val="2"/>
        </w:numPr>
        <w:spacing w:line="574" w:lineRule="exact"/>
        <w:ind w:firstLine="616" w:firstLineChars="200"/>
        <w:outlineLvl w:val="1"/>
        <w:rPr>
          <w:rFonts w:ascii="楷体" w:hAnsi="楷体" w:eastAsia="楷体" w:cs="楷体"/>
          <w:spacing w:val="-6"/>
          <w:kern w:val="0"/>
          <w:sz w:val="32"/>
          <w:szCs w:val="32"/>
          <w:highlight w:val="none"/>
        </w:rPr>
      </w:pPr>
      <w:r>
        <w:rPr>
          <w:rFonts w:hint="eastAsia" w:ascii="楷体" w:hAnsi="楷体" w:eastAsia="楷体" w:cs="楷体"/>
          <w:spacing w:val="-6"/>
          <w:kern w:val="0"/>
          <w:sz w:val="32"/>
          <w:szCs w:val="32"/>
          <w:highlight w:val="none"/>
        </w:rPr>
        <w:t>补偿安置情况</w:t>
      </w:r>
    </w:p>
    <w:p>
      <w:pPr>
        <w:spacing w:line="574"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改造地块由权利人自主改造，不涉及征收土地、补偿安置情况。</w:t>
      </w:r>
    </w:p>
    <w:p>
      <w:pPr>
        <w:spacing w:line="574" w:lineRule="exact"/>
        <w:ind w:firstLine="616" w:firstLineChars="200"/>
        <w:outlineLvl w:val="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三、改造主体、需办理用地手续及拟改造情况</w:t>
      </w:r>
    </w:p>
    <w:p>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根据有关规划要求，改造项目严格按照国土空间总体规划、《中山市沙溪镇工业用地规划条件论证报告》（中府函〔2022〕230号）管控要求实施建设。</w:t>
      </w:r>
    </w:p>
    <w:p>
      <w:pPr>
        <w:numPr>
          <w:ilvl w:val="0"/>
          <w:numId w:val="3"/>
        </w:numPr>
        <w:spacing w:line="574" w:lineRule="exact"/>
        <w:ind w:firstLine="616" w:firstLineChars="200"/>
        <w:rPr>
          <w:rFonts w:ascii="楷体" w:hAnsi="楷体" w:eastAsia="楷体" w:cs="楷体"/>
          <w:spacing w:val="-6"/>
          <w:kern w:val="0"/>
          <w:sz w:val="32"/>
          <w:szCs w:val="32"/>
          <w:highlight w:val="none"/>
        </w:rPr>
      </w:pPr>
      <w:r>
        <w:rPr>
          <w:rFonts w:hint="eastAsia" w:ascii="楷体" w:hAnsi="楷体" w:eastAsia="楷体" w:cs="楷体"/>
          <w:spacing w:val="-6"/>
          <w:kern w:val="0"/>
          <w:sz w:val="32"/>
          <w:szCs w:val="32"/>
          <w:highlight w:val="none"/>
        </w:rPr>
        <w:t>改造主体情况</w:t>
      </w:r>
    </w:p>
    <w:p>
      <w:pPr>
        <w:spacing w:line="574" w:lineRule="exact"/>
        <w:ind w:firstLine="616" w:firstLineChars="200"/>
        <w:rPr>
          <w:rFonts w:ascii="仿宋_GB2312" w:hAnsi="仿宋_GB2312" w:eastAsia="仿宋_GB2312" w:cs="仿宋_GB2312"/>
          <w:spacing w:val="-6"/>
          <w:sz w:val="32"/>
          <w:highlight w:val="none"/>
        </w:rPr>
      </w:pPr>
      <w:r>
        <w:rPr>
          <w:rFonts w:hint="eastAsia" w:ascii="仿宋_GB2312" w:hAnsi="仿宋_GB2312" w:eastAsia="仿宋_GB2312" w:cs="仿宋_GB2312"/>
          <w:spacing w:val="-6"/>
          <w:sz w:val="32"/>
          <w:highlight w:val="none"/>
        </w:rPr>
        <w:t>该改造项目属“工改工”宗地项目，拟采取权利人自主改造方式，由</w:t>
      </w:r>
      <w:r>
        <w:rPr>
          <w:rFonts w:hint="eastAsia" w:ascii="仿宋_GB2312" w:hAnsi="仿宋_GB2312" w:eastAsia="仿宋_GB2312" w:cs="仿宋_GB2312"/>
          <w:spacing w:val="-6"/>
          <w:kern w:val="0"/>
          <w:sz w:val="32"/>
          <w:szCs w:val="32"/>
          <w:highlight w:val="none"/>
        </w:rPr>
        <w:t>岗背经济社</w:t>
      </w:r>
      <w:r>
        <w:rPr>
          <w:rFonts w:hint="eastAsia" w:ascii="仿宋_GB2312" w:hAnsi="仿宋_GB2312" w:eastAsia="仿宋_GB2312" w:cs="仿宋_GB2312"/>
          <w:spacing w:val="-6"/>
          <w:sz w:val="32"/>
          <w:highlight w:val="none"/>
        </w:rPr>
        <w:t>作为改造主体实施改造，采取实施全面改造的改造方式。</w:t>
      </w:r>
    </w:p>
    <w:p>
      <w:pPr>
        <w:numPr>
          <w:ilvl w:val="0"/>
          <w:numId w:val="3"/>
        </w:numPr>
        <w:spacing w:line="574" w:lineRule="exact"/>
        <w:ind w:firstLine="616" w:firstLineChars="200"/>
        <w:rPr>
          <w:rFonts w:ascii="楷体" w:hAnsi="楷体" w:eastAsia="楷体" w:cs="楷体"/>
          <w:spacing w:val="-6"/>
          <w:kern w:val="0"/>
          <w:sz w:val="32"/>
          <w:szCs w:val="32"/>
          <w:highlight w:val="none"/>
        </w:rPr>
      </w:pPr>
      <w:r>
        <w:rPr>
          <w:rFonts w:hint="eastAsia" w:ascii="楷体" w:hAnsi="楷体" w:eastAsia="楷体" w:cs="楷体"/>
          <w:spacing w:val="-6"/>
          <w:kern w:val="0"/>
          <w:sz w:val="32"/>
          <w:szCs w:val="32"/>
          <w:highlight w:val="none"/>
        </w:rPr>
        <w:t>需办理的用地手续</w:t>
      </w:r>
    </w:p>
    <w:p>
      <w:pPr>
        <w:spacing w:line="574" w:lineRule="exact"/>
        <w:ind w:firstLine="616" w:firstLineChars="200"/>
        <w:rPr>
          <w:rFonts w:ascii="楷体" w:hAnsi="楷体" w:eastAsia="楷体" w:cs="楷体"/>
          <w:spacing w:val="-6"/>
          <w:kern w:val="0"/>
          <w:sz w:val="32"/>
          <w:szCs w:val="32"/>
          <w:highlight w:val="none"/>
        </w:rPr>
      </w:pPr>
      <w:r>
        <w:rPr>
          <w:rFonts w:hint="eastAsia" w:ascii="仿宋_GB2312" w:hAnsi="仿宋_GB2312" w:eastAsia="仿宋_GB2312" w:cs="仿宋_GB2312"/>
          <w:spacing w:val="-6"/>
          <w:sz w:val="32"/>
          <w:szCs w:val="32"/>
          <w:highlight w:val="none"/>
        </w:rPr>
        <w:t>1、集体土地完善转用手续。根据《广东省旧城镇旧厂房旧村庄改造管理办法》（粤府令第279号）《广东省“三旧”改造标图入库和用地报批工作指引（2021年版）》（粤自然资函〔2021〕935号）相关规定，地块二0.1653公顷（1653.18平方米，折合约2.4798亩）符合办理集体土地完善转用的要求。办理集体土地完善转用手续时，不涉及需安排建设用地规模及用地指标（农转用、耕地、水田、林地）。</w:t>
      </w:r>
    </w:p>
    <w:p>
      <w:pPr>
        <w:pStyle w:val="5"/>
        <w:snapToGrid w:val="0"/>
        <w:spacing w:line="360" w:lineRule="auto"/>
        <w:ind w:firstLine="616"/>
        <w:rPr>
          <w:rFonts w:ascii="仿宋_GB2312" w:hAnsi="仿宋_GB2312" w:eastAsia="仿宋_GB2312" w:cs="仿宋_GB2312"/>
          <w:spacing w:val="-6"/>
          <w:kern w:val="0"/>
          <w:sz w:val="32"/>
          <w:szCs w:val="32"/>
          <w:highlight w:val="none"/>
        </w:rPr>
      </w:pPr>
      <w:r>
        <w:rPr>
          <w:rFonts w:hint="eastAsia" w:ascii="Times New Roman" w:hAnsi="Times New Roman" w:eastAsia="仿宋_GB2312"/>
          <w:spacing w:val="-6"/>
          <w:sz w:val="32"/>
          <w:szCs w:val="32"/>
          <w:highlight w:val="none"/>
        </w:rPr>
        <w:t>2、集体建设用地自用审批。完成集体土地转用手续后，</w:t>
      </w:r>
      <w:r>
        <w:rPr>
          <w:rFonts w:hint="eastAsia" w:ascii="仿宋_GB2312" w:hAnsi="仿宋_GB2312" w:eastAsia="仿宋_GB2312" w:cs="仿宋_GB2312"/>
          <w:spacing w:val="-6"/>
          <w:sz w:val="32"/>
          <w:szCs w:val="32"/>
          <w:highlight w:val="none"/>
        </w:rPr>
        <w:t>0.1653公顷（1653.18平方米，折合约2.4798亩）规划一类工业用地</w:t>
      </w:r>
      <w:r>
        <w:rPr>
          <w:rFonts w:ascii="Times New Roman" w:hAnsi="Times New Roman" w:eastAsia="仿宋_GB2312"/>
          <w:sz w:val="32"/>
          <w:szCs w:val="32"/>
          <w:highlight w:val="none"/>
        </w:rPr>
        <w:t>拟采用</w:t>
      </w:r>
      <w:r>
        <w:rPr>
          <w:rFonts w:hint="eastAsia" w:ascii="Times New Roman" w:hAnsi="Times New Roman" w:eastAsia="仿宋_GB2312"/>
          <w:sz w:val="32"/>
          <w:szCs w:val="32"/>
          <w:highlight w:val="none"/>
        </w:rPr>
        <w:t>集体自用方式供地给岗背经济社</w:t>
      </w:r>
      <w:r>
        <w:rPr>
          <w:rFonts w:hint="eastAsia" w:ascii="仿宋_GB2312" w:hAnsi="仿宋_GB2312" w:eastAsia="仿宋_GB2312" w:cs="仿宋_GB2312"/>
          <w:spacing w:val="-6"/>
          <w:kern w:val="0"/>
          <w:sz w:val="32"/>
          <w:szCs w:val="32"/>
          <w:highlight w:val="none"/>
        </w:rPr>
        <w:t>。</w:t>
      </w:r>
    </w:p>
    <w:p>
      <w:pPr>
        <w:pStyle w:val="5"/>
        <w:snapToGrid w:val="0"/>
        <w:spacing w:line="360" w:lineRule="auto"/>
        <w:ind w:firstLine="616"/>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3、集体建设用地合并。上述集体自用的</w:t>
      </w:r>
      <w:r>
        <w:rPr>
          <w:rFonts w:hint="eastAsia" w:ascii="仿宋_GB2312" w:hAnsi="仿宋_GB2312" w:eastAsia="仿宋_GB2312" w:cs="仿宋_GB2312"/>
          <w:spacing w:val="-6"/>
          <w:sz w:val="32"/>
          <w:szCs w:val="32"/>
          <w:highlight w:val="none"/>
        </w:rPr>
        <w:t>0.1653公顷（1653.18平方米，折合约2.4</w:t>
      </w:r>
      <w:r>
        <w:rPr>
          <w:rFonts w:ascii="仿宋_GB2312" w:hAnsi="仿宋_GB2312" w:eastAsia="仿宋_GB2312" w:cs="仿宋_GB2312"/>
          <w:spacing w:val="-6"/>
          <w:sz w:val="32"/>
          <w:szCs w:val="32"/>
          <w:highlight w:val="none"/>
        </w:rPr>
        <w:t>8</w:t>
      </w:r>
      <w:r>
        <w:rPr>
          <w:rFonts w:hint="eastAsia" w:ascii="仿宋_GB2312" w:hAnsi="仿宋_GB2312" w:eastAsia="仿宋_GB2312" w:cs="仿宋_GB2312"/>
          <w:spacing w:val="-6"/>
          <w:sz w:val="32"/>
          <w:szCs w:val="32"/>
          <w:highlight w:val="none"/>
        </w:rPr>
        <w:t>亩）工业用地再与地块一1</w:t>
      </w:r>
      <w:r>
        <w:rPr>
          <w:rFonts w:ascii="仿宋_GB2312" w:hAnsi="仿宋_GB2312" w:eastAsia="仿宋_GB2312" w:cs="仿宋_GB2312"/>
          <w:spacing w:val="-6"/>
          <w:sz w:val="32"/>
          <w:szCs w:val="32"/>
          <w:highlight w:val="none"/>
        </w:rPr>
        <w:t>.2949公顷</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kern w:val="0"/>
          <w:sz w:val="32"/>
          <w:szCs w:val="32"/>
          <w:highlight w:val="none"/>
        </w:rPr>
        <w:t>12948.7</w:t>
      </w:r>
      <w:r>
        <w:rPr>
          <w:rFonts w:hint="eastAsia" w:ascii="仿宋_GB2312" w:hAnsi="仿宋_GB2312" w:eastAsia="仿宋_GB2312" w:cs="仿宋_GB2312"/>
          <w:spacing w:val="-6"/>
          <w:sz w:val="32"/>
          <w:szCs w:val="32"/>
          <w:highlight w:val="none"/>
        </w:rPr>
        <w:t>平方米，折合约</w:t>
      </w:r>
      <w:r>
        <w:rPr>
          <w:rFonts w:ascii="仿宋_GB2312" w:hAnsi="仿宋_GB2312" w:eastAsia="仿宋_GB2312" w:cs="仿宋_GB2312"/>
          <w:spacing w:val="-6"/>
          <w:sz w:val="32"/>
          <w:szCs w:val="32"/>
          <w:highlight w:val="none"/>
        </w:rPr>
        <w:t>19.42</w:t>
      </w:r>
      <w:r>
        <w:rPr>
          <w:rFonts w:hint="eastAsia" w:ascii="仿宋_GB2312" w:hAnsi="仿宋_GB2312" w:eastAsia="仿宋_GB2312" w:cs="仿宋_GB2312"/>
          <w:spacing w:val="-6"/>
          <w:sz w:val="32"/>
          <w:szCs w:val="32"/>
          <w:highlight w:val="none"/>
        </w:rPr>
        <w:t>亩）办理集体建设用地合并手续，合并后土地面积</w:t>
      </w:r>
      <w:r>
        <w:rPr>
          <w:rFonts w:hint="eastAsia" w:ascii="仿宋_GB2312" w:hAnsi="仿宋_GB2312" w:eastAsia="仿宋_GB2312" w:cs="仿宋_GB2312"/>
          <w:spacing w:val="-6"/>
          <w:sz w:val="32"/>
          <w:szCs w:val="32"/>
          <w:highlight w:val="none"/>
          <w:shd w:val="clear" w:color="auto" w:fill="FFFFFF"/>
        </w:rPr>
        <w:t>1.4602公顷（14601.88平方米，折合约21.90亩）</w:t>
      </w:r>
      <w:r>
        <w:rPr>
          <w:rFonts w:hint="eastAsia" w:ascii="仿宋_GB2312" w:hAnsi="仿宋_GB2312" w:eastAsia="仿宋_GB2312" w:cs="仿宋_GB2312"/>
          <w:spacing w:val="-6"/>
          <w:sz w:val="32"/>
          <w:szCs w:val="32"/>
          <w:highlight w:val="none"/>
        </w:rPr>
        <w:t>。</w:t>
      </w:r>
    </w:p>
    <w:p>
      <w:pPr>
        <w:numPr>
          <w:ilvl w:val="0"/>
          <w:numId w:val="3"/>
        </w:num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拟改造情况</w:t>
      </w:r>
    </w:p>
    <w:p>
      <w:pPr>
        <w:spacing w:line="574" w:lineRule="exact"/>
        <w:ind w:firstLine="616" w:firstLineChars="200"/>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合并后的</w:t>
      </w:r>
      <w:r>
        <w:rPr>
          <w:rFonts w:hint="eastAsia" w:ascii="仿宋_GB2312" w:hAnsi="仿宋_GB2312" w:eastAsia="仿宋_GB2312" w:cs="仿宋_GB2312"/>
          <w:spacing w:val="-6"/>
          <w:sz w:val="32"/>
          <w:szCs w:val="32"/>
          <w:highlight w:val="none"/>
          <w:shd w:val="clear" w:color="auto" w:fill="FFFFFF"/>
        </w:rPr>
        <w:t>1.4602公顷（14601.88平方米，折合约21.90亩）工业用地</w:t>
      </w:r>
      <w:r>
        <w:rPr>
          <w:rFonts w:hint="eastAsia" w:ascii="仿宋_GB2312" w:hAnsi="仿宋_GB2312" w:eastAsia="仿宋_GB2312" w:cs="仿宋_GB2312"/>
          <w:spacing w:val="-6"/>
          <w:kern w:val="0"/>
          <w:sz w:val="32"/>
          <w:szCs w:val="32"/>
          <w:highlight w:val="none"/>
        </w:rPr>
        <w:t>改造后将用于</w:t>
      </w:r>
      <w:r>
        <w:rPr>
          <w:rFonts w:hint="eastAsia" w:ascii="仿宋_GB2312" w:hAnsi="仿宋_GB2312" w:eastAsia="仿宋_GB2312" w:cs="仿宋_GB2312"/>
          <w:spacing w:val="-6"/>
          <w:sz w:val="32"/>
          <w:highlight w:val="none"/>
        </w:rPr>
        <w:t>工业生产，拟引入纺织服装、服饰产业。</w:t>
      </w:r>
      <w:r>
        <w:rPr>
          <w:rFonts w:ascii="仿宋_GB2312" w:hAnsi="仿宋_GB2312" w:eastAsia="仿宋_GB2312" w:cs="仿宋_GB2312"/>
          <w:spacing w:val="-6"/>
          <w:sz w:val="32"/>
          <w:highlight w:val="none"/>
        </w:rPr>
        <w:t>在符合控制性详细规划的基础上，容积率不小于</w:t>
      </w:r>
      <w:r>
        <w:rPr>
          <w:rFonts w:hint="eastAsia" w:ascii="仿宋_GB2312" w:hAnsi="仿宋_GB2312" w:eastAsia="仿宋_GB2312" w:cs="仿宋_GB2312"/>
          <w:spacing w:val="-6"/>
          <w:sz w:val="32"/>
          <w:highlight w:val="none"/>
        </w:rPr>
        <w:t>2.5，总建筑面积不小于36504.7平方米（含不计容建筑面积0平方米），不保留原有建筑。</w:t>
      </w:r>
    </w:p>
    <w:p>
      <w:pPr>
        <w:spacing w:line="574" w:lineRule="exact"/>
        <w:ind w:firstLine="640" w:firstLineChars="200"/>
        <w:rPr>
          <w:rFonts w:ascii="仿宋_GB2312" w:hAnsi="仿宋_GB2312" w:eastAsia="仿宋_GB2312" w:cs="仿宋_GB2312"/>
          <w:spacing w:val="-6"/>
          <w:kern w:val="0"/>
          <w:sz w:val="32"/>
          <w:szCs w:val="32"/>
          <w:highlight w:val="none"/>
        </w:rPr>
      </w:pPr>
      <w:r>
        <w:rPr>
          <w:rFonts w:hint="eastAsia" w:ascii="Times New Roman" w:hAnsi="Times New Roman" w:eastAsia="仿宋_GB2312" w:cs="仿宋_GB2312"/>
          <w:sz w:val="32"/>
          <w:szCs w:val="32"/>
          <w:highlight w:val="none"/>
        </w:rPr>
        <w:t>项目相关情况符合《产业结构调整指导目录》《中山市“三线一单”生态环境分区管控方案（2024年版）》《中山市涉挥发性有机物项目环保管理规定》相关规定。其中项目改造后引进产业须符合中山市产业导向，契合该片区工业智能制造（包括但不限于服装智能化生产、可穿戴电子设备高端装备制造、智能锁、高端家具制造）产业定位，“两高”企业</w:t>
      </w:r>
      <w:r>
        <w:rPr>
          <w:rStyle w:val="16"/>
          <w:rFonts w:ascii="Times New Roman" w:hAnsi="Times New Roman" w:eastAsia="仿宋_GB2312" w:cs="仿宋_GB2312"/>
          <w:sz w:val="32"/>
          <w:szCs w:val="32"/>
          <w:highlight w:val="none"/>
        </w:rPr>
        <w:footnoteReference w:id="0"/>
      </w:r>
      <w:r>
        <w:rPr>
          <w:rFonts w:hint="eastAsia" w:ascii="Times New Roman" w:hAnsi="Times New Roman" w:eastAsia="仿宋_GB2312" w:cs="仿宋_GB2312"/>
          <w:sz w:val="32"/>
          <w:szCs w:val="32"/>
          <w:highlight w:val="none"/>
        </w:rPr>
        <w:t>不得引入，改造后预计年产值将达10950万元（约500万元/亩），年税收将达328.5万元（约15万元/亩）。</w:t>
      </w:r>
    </w:p>
    <w:p>
      <w:pPr>
        <w:numPr>
          <w:ilvl w:val="0"/>
          <w:numId w:val="4"/>
        </w:numPr>
        <w:spacing w:line="574" w:lineRule="exact"/>
        <w:ind w:firstLine="616" w:firstLineChars="200"/>
        <w:outlineLvl w:val="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资金筹措</w:t>
      </w:r>
    </w:p>
    <w:p>
      <w:pPr>
        <w:spacing w:line="574" w:lineRule="exact"/>
        <w:ind w:firstLine="616"/>
        <w:rPr>
          <w:rFonts w:ascii="仿宋_GB2312" w:hAnsi="仿宋_GB2312" w:eastAsia="仿宋_GB2312" w:cs="仿宋_GB2312"/>
          <w:spacing w:val="-6"/>
          <w:kern w:val="0"/>
          <w:sz w:val="32"/>
          <w:szCs w:val="32"/>
          <w:highlight w:val="none"/>
        </w:rPr>
      </w:pPr>
      <w:r>
        <w:rPr>
          <w:rFonts w:hint="eastAsia" w:ascii="仿宋_GB2312" w:hAnsi="仿宋_GB2312" w:eastAsia="仿宋_GB2312" w:cs="仿宋_GB2312"/>
          <w:spacing w:val="-6"/>
          <w:kern w:val="0"/>
          <w:sz w:val="32"/>
          <w:szCs w:val="32"/>
          <w:highlight w:val="none"/>
        </w:rPr>
        <w:t>改造主体拟投入资金不少于</w:t>
      </w:r>
      <w:r>
        <w:rPr>
          <w:rFonts w:hint="eastAsia" w:ascii="Times New Roman" w:hAnsi="Times New Roman" w:eastAsia="仿宋_GB2312" w:cs="仿宋_GB2312"/>
          <w:sz w:val="32"/>
          <w:szCs w:val="32"/>
          <w:highlight w:val="none"/>
        </w:rPr>
        <w:t>6570</w:t>
      </w:r>
      <w:r>
        <w:rPr>
          <w:rFonts w:hint="eastAsia" w:ascii="仿宋_GB2312" w:hAnsi="仿宋_GB2312" w:eastAsia="仿宋_GB2312" w:cs="仿宋_GB2312"/>
          <w:spacing w:val="-6"/>
          <w:kern w:val="0"/>
          <w:sz w:val="32"/>
          <w:szCs w:val="32"/>
          <w:highlight w:val="none"/>
        </w:rPr>
        <w:t>万元</w:t>
      </w:r>
      <w:r>
        <w:rPr>
          <w:rFonts w:hint="eastAsia" w:ascii="Times New Roman" w:hAnsi="Times New Roman" w:eastAsia="仿宋_GB2312" w:cs="仿宋_GB2312"/>
          <w:sz w:val="32"/>
          <w:szCs w:val="32"/>
          <w:highlight w:val="none"/>
        </w:rPr>
        <w:t>（约</w:t>
      </w:r>
      <w:r>
        <w:rPr>
          <w:rFonts w:ascii="Times New Roman" w:hAnsi="Times New Roman" w:eastAsia="仿宋_GB2312" w:cs="仿宋_GB2312"/>
          <w:sz w:val="32"/>
          <w:szCs w:val="32"/>
          <w:highlight w:val="none"/>
        </w:rPr>
        <w:t>300</w:t>
      </w:r>
      <w:r>
        <w:rPr>
          <w:rFonts w:hint="eastAsia" w:ascii="Times New Roman" w:hAnsi="Times New Roman" w:eastAsia="仿宋_GB2312" w:cs="仿宋_GB2312"/>
          <w:sz w:val="32"/>
          <w:szCs w:val="32"/>
          <w:highlight w:val="none"/>
        </w:rPr>
        <w:t>万元/亩）</w:t>
      </w:r>
      <w:r>
        <w:rPr>
          <w:rFonts w:hint="eastAsia" w:ascii="仿宋_GB2312" w:hAnsi="仿宋_GB2312" w:eastAsia="仿宋_GB2312" w:cs="仿宋_GB2312"/>
          <w:spacing w:val="-6"/>
          <w:kern w:val="0"/>
          <w:sz w:val="32"/>
          <w:szCs w:val="32"/>
          <w:highlight w:val="none"/>
        </w:rPr>
        <w:t>，其中自有资金6570万元，银行借贷0万元，</w:t>
      </w:r>
      <w:r>
        <w:rPr>
          <w:rFonts w:hint="eastAsia" w:ascii="仿宋_GB2312" w:hAnsi="仿宋_GB2312" w:eastAsia="仿宋_GB2312" w:cs="仿宋_GB2312"/>
          <w:spacing w:val="-6"/>
          <w:sz w:val="32"/>
          <w:szCs w:val="32"/>
          <w:highlight w:val="none"/>
        </w:rPr>
        <w:t>具体数据以最终实际发生为准</w:t>
      </w:r>
      <w:r>
        <w:rPr>
          <w:rFonts w:hint="eastAsia" w:ascii="仿宋_GB2312" w:hAnsi="仿宋_GB2312" w:eastAsia="仿宋_GB2312" w:cs="仿宋_GB2312"/>
          <w:spacing w:val="-6"/>
          <w:kern w:val="0"/>
          <w:sz w:val="32"/>
          <w:szCs w:val="32"/>
          <w:highlight w:val="none"/>
        </w:rPr>
        <w:t>。</w:t>
      </w:r>
    </w:p>
    <w:p>
      <w:pPr>
        <w:numPr>
          <w:ilvl w:val="0"/>
          <w:numId w:val="4"/>
        </w:numPr>
        <w:spacing w:line="574" w:lineRule="exact"/>
        <w:ind w:firstLine="616" w:firstLineChars="200"/>
        <w:outlineLvl w:val="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开发时序</w:t>
      </w:r>
    </w:p>
    <w:p>
      <w:pPr>
        <w:pageBreakBefore w:val="0"/>
        <w:widowControl/>
        <w:kinsoku/>
        <w:wordWrap/>
        <w:overflowPunct/>
        <w:topLinePunct w:val="0"/>
        <w:autoSpaceDE/>
        <w:autoSpaceDN/>
        <w:bidi w:val="0"/>
        <w:snapToGrid w:val="0"/>
        <w:spacing w:line="574" w:lineRule="exact"/>
        <w:ind w:left="0" w:leftChars="0" w:right="0" w:rightChars="0" w:firstLine="640" w:firstLineChars="200"/>
        <w:jc w:val="both"/>
        <w:textAlignment w:val="auto"/>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项目开发周期为</w:t>
      </w:r>
      <w:r>
        <w:rPr>
          <w:rFonts w:hint="default" w:ascii="Times New Roman" w:hAnsi="Times New Roman" w:eastAsia="仿宋_GB2312" w:cs="Times New Roman"/>
          <w:color w:val="auto"/>
          <w:spacing w:val="0"/>
          <w:kern w:val="0"/>
          <w:sz w:val="32"/>
          <w:szCs w:val="32"/>
          <w:highlight w:val="none"/>
          <w:lang w:val="en-US" w:eastAsia="zh-CN" w:bidi="ar"/>
        </w:rPr>
        <w:t>3</w:t>
      </w:r>
      <w:r>
        <w:rPr>
          <w:rFonts w:hint="eastAsia" w:ascii="Times New Roman" w:hAnsi="Times New Roman" w:eastAsia="仿宋_GB2312" w:cs="Times New Roman"/>
          <w:color w:val="auto"/>
          <w:spacing w:val="0"/>
          <w:kern w:val="0"/>
          <w:sz w:val="32"/>
          <w:szCs w:val="32"/>
          <w:highlight w:val="none"/>
          <w:lang w:val="en-US" w:eastAsia="zh-CN" w:bidi="ar"/>
        </w:rPr>
        <w:t>.5</w:t>
      </w:r>
      <w:r>
        <w:rPr>
          <w:rFonts w:hint="default" w:ascii="Times New Roman" w:hAnsi="Times New Roman" w:eastAsia="仿宋_GB2312" w:cs="Times New Roman"/>
          <w:color w:val="auto"/>
          <w:spacing w:val="0"/>
          <w:kern w:val="0"/>
          <w:sz w:val="32"/>
          <w:szCs w:val="32"/>
          <w:highlight w:val="none"/>
          <w:lang w:val="en-US" w:eastAsia="zh-CN" w:bidi="ar"/>
        </w:rPr>
        <w:t>年</w:t>
      </w:r>
      <w:r>
        <w:rPr>
          <w:rFonts w:hint="default" w:ascii="Times New Roman" w:hAnsi="Times New Roman" w:eastAsia="仿宋_GB2312" w:cs="Times New Roman"/>
          <w:color w:val="auto"/>
          <w:spacing w:val="0"/>
          <w:kern w:val="0"/>
          <w:sz w:val="32"/>
          <w:szCs w:val="32"/>
          <w:highlight w:val="none"/>
        </w:rPr>
        <w:t>，</w:t>
      </w:r>
      <w:r>
        <w:rPr>
          <w:rFonts w:hint="eastAsia" w:ascii="Times New Roman" w:hAnsi="Times New Roman" w:eastAsia="仿宋_GB2312" w:cs="Times New Roman"/>
          <w:color w:val="auto"/>
          <w:spacing w:val="0"/>
          <w:kern w:val="0"/>
          <w:sz w:val="32"/>
          <w:szCs w:val="32"/>
          <w:highlight w:val="none"/>
          <w:lang w:eastAsia="zh-CN"/>
        </w:rPr>
        <w:t>自</w:t>
      </w:r>
      <w:r>
        <w:rPr>
          <w:rFonts w:hint="eastAsia" w:ascii="Times New Roman" w:hAnsi="Times New Roman" w:eastAsia="仿宋_GB2312" w:cs="Times New Roman"/>
          <w:color w:val="auto"/>
          <w:spacing w:val="0"/>
          <w:kern w:val="0"/>
          <w:sz w:val="32"/>
          <w:szCs w:val="32"/>
          <w:highlight w:val="none"/>
          <w:lang w:val="en-US" w:eastAsia="zh-CN" w:bidi="ar"/>
        </w:rPr>
        <w:t>合并土地使用</w:t>
      </w:r>
      <w:bookmarkStart w:id="0" w:name="_GoBack"/>
      <w:bookmarkEnd w:id="0"/>
      <w:r>
        <w:rPr>
          <w:rFonts w:hint="eastAsia" w:ascii="Times New Roman" w:hAnsi="Times New Roman" w:eastAsia="仿宋_GB2312" w:cs="Times New Roman"/>
          <w:color w:val="auto"/>
          <w:spacing w:val="0"/>
          <w:kern w:val="0"/>
          <w:sz w:val="32"/>
          <w:szCs w:val="32"/>
          <w:highlight w:val="none"/>
          <w:lang w:val="en-US" w:eastAsia="zh-CN" w:bidi="ar"/>
        </w:rPr>
        <w:t>权签订出让合同变更协议之日起365日内开工，自开工之日起912日内</w:t>
      </w:r>
      <w:r>
        <w:rPr>
          <w:rFonts w:hint="eastAsia" w:ascii="Times New Roman" w:hAnsi="Times New Roman" w:eastAsia="仿宋_GB2312" w:cs="Times New Roman"/>
          <w:spacing w:val="-6"/>
          <w:kern w:val="0"/>
          <w:sz w:val="32"/>
          <w:szCs w:val="32"/>
          <w:highlight w:val="none"/>
          <w:lang w:val="en-US" w:eastAsia="zh-CN"/>
        </w:rPr>
        <w:t>竣工。</w:t>
      </w:r>
    </w:p>
    <w:p>
      <w:pPr>
        <w:spacing w:line="574" w:lineRule="exact"/>
        <w:ind w:firstLine="616" w:firstLineChars="200"/>
        <w:outlineLvl w:val="0"/>
        <w:rPr>
          <w:rFonts w:ascii="黑体" w:hAnsi="黑体" w:eastAsia="黑体"/>
          <w:spacing w:val="-6"/>
          <w:kern w:val="0"/>
          <w:sz w:val="32"/>
          <w:szCs w:val="32"/>
          <w:highlight w:val="none"/>
        </w:rPr>
      </w:pPr>
      <w:r>
        <w:rPr>
          <w:rFonts w:hint="eastAsia" w:ascii="黑体" w:hAnsi="黑体" w:eastAsia="黑体"/>
          <w:spacing w:val="-6"/>
          <w:kern w:val="0"/>
          <w:sz w:val="32"/>
          <w:szCs w:val="32"/>
          <w:highlight w:val="none"/>
        </w:rPr>
        <w:t>六、实施监管</w:t>
      </w:r>
    </w:p>
    <w:p>
      <w:pPr>
        <w:ind w:firstLine="616" w:firstLineChars="200"/>
        <w:rPr>
          <w:highlight w:val="none"/>
        </w:rPr>
      </w:pPr>
      <w:r>
        <w:rPr>
          <w:rFonts w:hint="eastAsia" w:ascii="仿宋_GB2312" w:hAnsi="仿宋_GB2312" w:eastAsia="仿宋_GB2312" w:cs="仿宋_GB2312"/>
          <w:spacing w:val="-6"/>
          <w:kern w:val="0"/>
          <w:sz w:val="32"/>
          <w:szCs w:val="32"/>
          <w:highlight w:val="none"/>
        </w:rPr>
        <w:t>详见沙溪镇政府与改造主体签订的监管协议。</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rPr>
          <w:rFonts w:hint="eastAsia" w:ascii="仿宋_GB2312" w:eastAsia="仿宋_GB2312"/>
        </w:rPr>
      </w:pPr>
      <w:r>
        <w:rPr>
          <w:rStyle w:val="16"/>
        </w:rPr>
        <w:footnoteRef/>
      </w:r>
      <w:r>
        <w:t xml:space="preserve"> </w:t>
      </w:r>
      <w:r>
        <w:rPr>
          <w:rFonts w:hint="eastAsia" w:ascii="仿宋_GB2312" w:eastAsia="仿宋_GB2312"/>
        </w:rPr>
        <w:t>“两高”企业：指高耗能和高污染的企业。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DAFBE"/>
    <w:multiLevelType w:val="singleLevel"/>
    <w:tmpl w:val="13CDAFBE"/>
    <w:lvl w:ilvl="0" w:tentative="0">
      <w:start w:val="2"/>
      <w:numFmt w:val="chineseCounting"/>
      <w:suff w:val="nothing"/>
      <w:lvlText w:val="%1、"/>
      <w:lvlJc w:val="left"/>
      <w:rPr>
        <w:rFonts w:hint="eastAsia"/>
      </w:rPr>
    </w:lvl>
  </w:abstractNum>
  <w:abstractNum w:abstractNumId="1">
    <w:nsid w:val="583D8B0B"/>
    <w:multiLevelType w:val="singleLevel"/>
    <w:tmpl w:val="583D8B0B"/>
    <w:lvl w:ilvl="0" w:tentative="0">
      <w:start w:val="1"/>
      <w:numFmt w:val="chineseCounting"/>
      <w:suff w:val="nothing"/>
      <w:lvlText w:val="（%1）"/>
      <w:lvlJc w:val="left"/>
      <w:rPr>
        <w:rFonts w:hint="eastAsia"/>
      </w:rPr>
    </w:lvl>
  </w:abstractNum>
  <w:abstractNum w:abstractNumId="2">
    <w:nsid w:val="61CA85F6"/>
    <w:multiLevelType w:val="singleLevel"/>
    <w:tmpl w:val="61CA85F6"/>
    <w:lvl w:ilvl="0" w:tentative="0">
      <w:start w:val="2"/>
      <w:numFmt w:val="chineseCounting"/>
      <w:suff w:val="nothing"/>
      <w:lvlText w:val="（%1）"/>
      <w:lvlJc w:val="left"/>
    </w:lvl>
  </w:abstractNum>
  <w:abstractNum w:abstractNumId="3">
    <w:nsid w:val="61CA8AD6"/>
    <w:multiLevelType w:val="singleLevel"/>
    <w:tmpl w:val="61CA8AD6"/>
    <w:lvl w:ilvl="0" w:tentative="0">
      <w:start w:val="4"/>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4ZjA2MGE4MmQwMzViZjdmMDE5ZjIzNmM0ZTIxMjYifQ=="/>
  </w:docVars>
  <w:rsids>
    <w:rsidRoot w:val="009F3C62"/>
    <w:rsid w:val="0007006A"/>
    <w:rsid w:val="00100C0F"/>
    <w:rsid w:val="00153F6B"/>
    <w:rsid w:val="001D7704"/>
    <w:rsid w:val="00207098"/>
    <w:rsid w:val="002A5B0B"/>
    <w:rsid w:val="00502733"/>
    <w:rsid w:val="005658DB"/>
    <w:rsid w:val="005C6F79"/>
    <w:rsid w:val="007D2114"/>
    <w:rsid w:val="00862390"/>
    <w:rsid w:val="008F538B"/>
    <w:rsid w:val="009E56F7"/>
    <w:rsid w:val="009F3C62"/>
    <w:rsid w:val="00A1103F"/>
    <w:rsid w:val="00AB242B"/>
    <w:rsid w:val="00AB6CF3"/>
    <w:rsid w:val="00B342C7"/>
    <w:rsid w:val="00CC4F83"/>
    <w:rsid w:val="00F10858"/>
    <w:rsid w:val="00F43311"/>
    <w:rsid w:val="00F90735"/>
    <w:rsid w:val="00FB40CF"/>
    <w:rsid w:val="01B361CC"/>
    <w:rsid w:val="01B80645"/>
    <w:rsid w:val="01CB47DB"/>
    <w:rsid w:val="02A45E37"/>
    <w:rsid w:val="02C9625F"/>
    <w:rsid w:val="030E0808"/>
    <w:rsid w:val="038F73AE"/>
    <w:rsid w:val="03B95D46"/>
    <w:rsid w:val="04732D0E"/>
    <w:rsid w:val="04B44530"/>
    <w:rsid w:val="04B50431"/>
    <w:rsid w:val="04D42B5F"/>
    <w:rsid w:val="054B3BB1"/>
    <w:rsid w:val="0581115B"/>
    <w:rsid w:val="0624184E"/>
    <w:rsid w:val="063C4668"/>
    <w:rsid w:val="067C069D"/>
    <w:rsid w:val="06AB501D"/>
    <w:rsid w:val="06AD3E4F"/>
    <w:rsid w:val="06EA3F7C"/>
    <w:rsid w:val="073D53EE"/>
    <w:rsid w:val="078A56A5"/>
    <w:rsid w:val="07A44C3A"/>
    <w:rsid w:val="07A83933"/>
    <w:rsid w:val="07BB3385"/>
    <w:rsid w:val="08123935"/>
    <w:rsid w:val="08502D7A"/>
    <w:rsid w:val="08CA47FF"/>
    <w:rsid w:val="09235369"/>
    <w:rsid w:val="0A0779D0"/>
    <w:rsid w:val="0A232419"/>
    <w:rsid w:val="0A2C47BA"/>
    <w:rsid w:val="0A5652CE"/>
    <w:rsid w:val="0A6F3E76"/>
    <w:rsid w:val="0AD87D5F"/>
    <w:rsid w:val="0B3B393F"/>
    <w:rsid w:val="0BB96B3C"/>
    <w:rsid w:val="0C6C0B64"/>
    <w:rsid w:val="0C961313"/>
    <w:rsid w:val="0CF94CB8"/>
    <w:rsid w:val="0D0F0A4A"/>
    <w:rsid w:val="0D385FEF"/>
    <w:rsid w:val="0D6A4A4B"/>
    <w:rsid w:val="0D6F6DAC"/>
    <w:rsid w:val="0DA141C7"/>
    <w:rsid w:val="0DB06593"/>
    <w:rsid w:val="0DC00DC3"/>
    <w:rsid w:val="0E2F0D1A"/>
    <w:rsid w:val="0E442473"/>
    <w:rsid w:val="0E5D33A1"/>
    <w:rsid w:val="0E880CEF"/>
    <w:rsid w:val="0E9F2044"/>
    <w:rsid w:val="0EEE3514"/>
    <w:rsid w:val="0FD949E5"/>
    <w:rsid w:val="10090575"/>
    <w:rsid w:val="1066035B"/>
    <w:rsid w:val="10AF4A06"/>
    <w:rsid w:val="116E12A3"/>
    <w:rsid w:val="11DE6B73"/>
    <w:rsid w:val="1205519F"/>
    <w:rsid w:val="120D1A31"/>
    <w:rsid w:val="12476619"/>
    <w:rsid w:val="12487239"/>
    <w:rsid w:val="12532DCB"/>
    <w:rsid w:val="12EA0C3B"/>
    <w:rsid w:val="1324011C"/>
    <w:rsid w:val="1389284F"/>
    <w:rsid w:val="13A653F2"/>
    <w:rsid w:val="13BA5D6B"/>
    <w:rsid w:val="13C96E5A"/>
    <w:rsid w:val="140A42B5"/>
    <w:rsid w:val="145C7162"/>
    <w:rsid w:val="14720D9C"/>
    <w:rsid w:val="14886115"/>
    <w:rsid w:val="14914A8C"/>
    <w:rsid w:val="149570C7"/>
    <w:rsid w:val="14A41CC1"/>
    <w:rsid w:val="14B115B9"/>
    <w:rsid w:val="14DF1632"/>
    <w:rsid w:val="154E3B5E"/>
    <w:rsid w:val="15681490"/>
    <w:rsid w:val="159D6001"/>
    <w:rsid w:val="15BD004D"/>
    <w:rsid w:val="15F87315"/>
    <w:rsid w:val="15FD48CE"/>
    <w:rsid w:val="164B3423"/>
    <w:rsid w:val="16BC7588"/>
    <w:rsid w:val="16FD19F6"/>
    <w:rsid w:val="175A1D89"/>
    <w:rsid w:val="175B1F3F"/>
    <w:rsid w:val="17866D13"/>
    <w:rsid w:val="182B0812"/>
    <w:rsid w:val="1851735A"/>
    <w:rsid w:val="18A74F98"/>
    <w:rsid w:val="18DB30DD"/>
    <w:rsid w:val="18E35669"/>
    <w:rsid w:val="19FD1721"/>
    <w:rsid w:val="1A1109D3"/>
    <w:rsid w:val="1A790E2B"/>
    <w:rsid w:val="1AB04418"/>
    <w:rsid w:val="1ACC6CA4"/>
    <w:rsid w:val="1B9937AE"/>
    <w:rsid w:val="1BAE1893"/>
    <w:rsid w:val="1BD45C69"/>
    <w:rsid w:val="1C0074A0"/>
    <w:rsid w:val="1C151423"/>
    <w:rsid w:val="1C1C5327"/>
    <w:rsid w:val="1C314741"/>
    <w:rsid w:val="1C5862E6"/>
    <w:rsid w:val="1CA85730"/>
    <w:rsid w:val="1D644776"/>
    <w:rsid w:val="1D7E22BD"/>
    <w:rsid w:val="1DBD04DA"/>
    <w:rsid w:val="1DEC0759"/>
    <w:rsid w:val="1DF85954"/>
    <w:rsid w:val="1E2721E6"/>
    <w:rsid w:val="1F316E54"/>
    <w:rsid w:val="1F42113B"/>
    <w:rsid w:val="1FAD7985"/>
    <w:rsid w:val="1FAE535E"/>
    <w:rsid w:val="1FB442AF"/>
    <w:rsid w:val="1FF2321C"/>
    <w:rsid w:val="20C26BB0"/>
    <w:rsid w:val="210A089E"/>
    <w:rsid w:val="210E4023"/>
    <w:rsid w:val="21A93CAA"/>
    <w:rsid w:val="21D13E07"/>
    <w:rsid w:val="21DD3950"/>
    <w:rsid w:val="21E36755"/>
    <w:rsid w:val="21EB07A6"/>
    <w:rsid w:val="22312BAB"/>
    <w:rsid w:val="22A04AF7"/>
    <w:rsid w:val="22AB6FED"/>
    <w:rsid w:val="22D5323E"/>
    <w:rsid w:val="22E41037"/>
    <w:rsid w:val="22FF2D1F"/>
    <w:rsid w:val="232C60EB"/>
    <w:rsid w:val="235D5A42"/>
    <w:rsid w:val="23950A53"/>
    <w:rsid w:val="23A221AF"/>
    <w:rsid w:val="23BF0FAD"/>
    <w:rsid w:val="23CC7894"/>
    <w:rsid w:val="23E10025"/>
    <w:rsid w:val="23F64280"/>
    <w:rsid w:val="24DA7642"/>
    <w:rsid w:val="24DD5F9E"/>
    <w:rsid w:val="24FC3D72"/>
    <w:rsid w:val="252047D7"/>
    <w:rsid w:val="252807CD"/>
    <w:rsid w:val="255E69C7"/>
    <w:rsid w:val="25662AE5"/>
    <w:rsid w:val="258E05F4"/>
    <w:rsid w:val="2596578B"/>
    <w:rsid w:val="25973209"/>
    <w:rsid w:val="25AB17E9"/>
    <w:rsid w:val="25FB7ABF"/>
    <w:rsid w:val="261C26E6"/>
    <w:rsid w:val="26474157"/>
    <w:rsid w:val="265D5C22"/>
    <w:rsid w:val="26AA1410"/>
    <w:rsid w:val="26FD47D6"/>
    <w:rsid w:val="271B299E"/>
    <w:rsid w:val="273307C3"/>
    <w:rsid w:val="27B64475"/>
    <w:rsid w:val="27B82A74"/>
    <w:rsid w:val="27DA4FB6"/>
    <w:rsid w:val="27F07EA4"/>
    <w:rsid w:val="280478D6"/>
    <w:rsid w:val="280742E7"/>
    <w:rsid w:val="282B222E"/>
    <w:rsid w:val="28F8523B"/>
    <w:rsid w:val="291F75C7"/>
    <w:rsid w:val="29C1661C"/>
    <w:rsid w:val="2A0666AE"/>
    <w:rsid w:val="2A2A4E6A"/>
    <w:rsid w:val="2A6022F8"/>
    <w:rsid w:val="2A961618"/>
    <w:rsid w:val="2AD94114"/>
    <w:rsid w:val="2AF96930"/>
    <w:rsid w:val="2B9A5A5C"/>
    <w:rsid w:val="2C666A00"/>
    <w:rsid w:val="2C6F5308"/>
    <w:rsid w:val="2C831CFB"/>
    <w:rsid w:val="2C9D121A"/>
    <w:rsid w:val="2CFC2EE7"/>
    <w:rsid w:val="2D6A3D37"/>
    <w:rsid w:val="2D74087F"/>
    <w:rsid w:val="2D9347F5"/>
    <w:rsid w:val="2DA328D9"/>
    <w:rsid w:val="2DFE6167"/>
    <w:rsid w:val="2E4E6207"/>
    <w:rsid w:val="2E9321E6"/>
    <w:rsid w:val="2E947C3C"/>
    <w:rsid w:val="2EDE4F6F"/>
    <w:rsid w:val="2F1F509D"/>
    <w:rsid w:val="2F2C5CBC"/>
    <w:rsid w:val="2F2C6C85"/>
    <w:rsid w:val="2F954AA7"/>
    <w:rsid w:val="2FE546DD"/>
    <w:rsid w:val="30A86749"/>
    <w:rsid w:val="30E13FF7"/>
    <w:rsid w:val="310357C2"/>
    <w:rsid w:val="310C0D96"/>
    <w:rsid w:val="31232B7B"/>
    <w:rsid w:val="31940E9D"/>
    <w:rsid w:val="31F06BEE"/>
    <w:rsid w:val="320227D4"/>
    <w:rsid w:val="322D097A"/>
    <w:rsid w:val="32386551"/>
    <w:rsid w:val="32A8111E"/>
    <w:rsid w:val="33090A4C"/>
    <w:rsid w:val="330A6390"/>
    <w:rsid w:val="33374333"/>
    <w:rsid w:val="333C2960"/>
    <w:rsid w:val="338D69D1"/>
    <w:rsid w:val="342658E5"/>
    <w:rsid w:val="343C3D66"/>
    <w:rsid w:val="349F45DB"/>
    <w:rsid w:val="34B166F0"/>
    <w:rsid w:val="34FE3837"/>
    <w:rsid w:val="352914C3"/>
    <w:rsid w:val="353103B5"/>
    <w:rsid w:val="35524739"/>
    <w:rsid w:val="35864AD5"/>
    <w:rsid w:val="35C11F23"/>
    <w:rsid w:val="35F46976"/>
    <w:rsid w:val="361575D3"/>
    <w:rsid w:val="365B0989"/>
    <w:rsid w:val="36FF649E"/>
    <w:rsid w:val="371F4F7F"/>
    <w:rsid w:val="37614820"/>
    <w:rsid w:val="379D1E63"/>
    <w:rsid w:val="37EE6BCA"/>
    <w:rsid w:val="3800531B"/>
    <w:rsid w:val="38985E43"/>
    <w:rsid w:val="38A73F51"/>
    <w:rsid w:val="38D37613"/>
    <w:rsid w:val="396C34FF"/>
    <w:rsid w:val="399860D0"/>
    <w:rsid w:val="39DC6E61"/>
    <w:rsid w:val="39ED148D"/>
    <w:rsid w:val="39F564CE"/>
    <w:rsid w:val="3A055696"/>
    <w:rsid w:val="3A344D51"/>
    <w:rsid w:val="3A6030ED"/>
    <w:rsid w:val="3ACE6892"/>
    <w:rsid w:val="3B4B3764"/>
    <w:rsid w:val="3BC177AB"/>
    <w:rsid w:val="3BF82E56"/>
    <w:rsid w:val="3C027831"/>
    <w:rsid w:val="3C2D2E8F"/>
    <w:rsid w:val="3C3F3B86"/>
    <w:rsid w:val="3C8A7F52"/>
    <w:rsid w:val="3CBA2A46"/>
    <w:rsid w:val="3D31115C"/>
    <w:rsid w:val="3D465B6F"/>
    <w:rsid w:val="3D8F570E"/>
    <w:rsid w:val="3DF5365F"/>
    <w:rsid w:val="3E3819CB"/>
    <w:rsid w:val="3EAB20E9"/>
    <w:rsid w:val="3EC71899"/>
    <w:rsid w:val="3ED80945"/>
    <w:rsid w:val="3EF47905"/>
    <w:rsid w:val="3F5B6AA7"/>
    <w:rsid w:val="3FC70276"/>
    <w:rsid w:val="3FC95959"/>
    <w:rsid w:val="3FDD1D5A"/>
    <w:rsid w:val="40244109"/>
    <w:rsid w:val="40365855"/>
    <w:rsid w:val="407C1221"/>
    <w:rsid w:val="40835840"/>
    <w:rsid w:val="40B36613"/>
    <w:rsid w:val="40EF0320"/>
    <w:rsid w:val="40F82219"/>
    <w:rsid w:val="41336743"/>
    <w:rsid w:val="414C4638"/>
    <w:rsid w:val="41505A97"/>
    <w:rsid w:val="41A236B8"/>
    <w:rsid w:val="42435F02"/>
    <w:rsid w:val="42AB51E8"/>
    <w:rsid w:val="42DB0806"/>
    <w:rsid w:val="432E353A"/>
    <w:rsid w:val="43383798"/>
    <w:rsid w:val="439A05A2"/>
    <w:rsid w:val="44184D69"/>
    <w:rsid w:val="446F5624"/>
    <w:rsid w:val="448E645A"/>
    <w:rsid w:val="44AA421F"/>
    <w:rsid w:val="450560EC"/>
    <w:rsid w:val="455A5197"/>
    <w:rsid w:val="458F3B1A"/>
    <w:rsid w:val="459819D4"/>
    <w:rsid w:val="45BB0894"/>
    <w:rsid w:val="45D24B39"/>
    <w:rsid w:val="461646BF"/>
    <w:rsid w:val="462F4D7A"/>
    <w:rsid w:val="46825B96"/>
    <w:rsid w:val="468619FA"/>
    <w:rsid w:val="4689195C"/>
    <w:rsid w:val="46DA1906"/>
    <w:rsid w:val="46E877B6"/>
    <w:rsid w:val="47072ADF"/>
    <w:rsid w:val="47507FEA"/>
    <w:rsid w:val="47CD0723"/>
    <w:rsid w:val="4832372A"/>
    <w:rsid w:val="48DF5182"/>
    <w:rsid w:val="48E7151B"/>
    <w:rsid w:val="497A6C03"/>
    <w:rsid w:val="497E1951"/>
    <w:rsid w:val="49A012CA"/>
    <w:rsid w:val="4AB25BF3"/>
    <w:rsid w:val="4AC153D1"/>
    <w:rsid w:val="4ACE56E7"/>
    <w:rsid w:val="4B0572BF"/>
    <w:rsid w:val="4B0D2866"/>
    <w:rsid w:val="4B435352"/>
    <w:rsid w:val="4B4D76D2"/>
    <w:rsid w:val="4B86047F"/>
    <w:rsid w:val="4B971D44"/>
    <w:rsid w:val="4BC83D3C"/>
    <w:rsid w:val="4BE113DE"/>
    <w:rsid w:val="4BE70C9F"/>
    <w:rsid w:val="4CA61634"/>
    <w:rsid w:val="4CA961D2"/>
    <w:rsid w:val="4CB678D6"/>
    <w:rsid w:val="4CBA4B06"/>
    <w:rsid w:val="4CFD7AF5"/>
    <w:rsid w:val="4D123CF2"/>
    <w:rsid w:val="4D3075B3"/>
    <w:rsid w:val="4D3740CD"/>
    <w:rsid w:val="4D4A32FA"/>
    <w:rsid w:val="4E302E7A"/>
    <w:rsid w:val="4EF8064A"/>
    <w:rsid w:val="4F402876"/>
    <w:rsid w:val="4FB61A39"/>
    <w:rsid w:val="4FDE17AB"/>
    <w:rsid w:val="4FFD4BCF"/>
    <w:rsid w:val="501670D3"/>
    <w:rsid w:val="507B1E29"/>
    <w:rsid w:val="50E3325F"/>
    <w:rsid w:val="5130111D"/>
    <w:rsid w:val="51373A67"/>
    <w:rsid w:val="514070CB"/>
    <w:rsid w:val="517240FC"/>
    <w:rsid w:val="518A5153"/>
    <w:rsid w:val="51EA095B"/>
    <w:rsid w:val="52097EA3"/>
    <w:rsid w:val="524A1D0E"/>
    <w:rsid w:val="525521C2"/>
    <w:rsid w:val="52930A26"/>
    <w:rsid w:val="5313494E"/>
    <w:rsid w:val="53335E7F"/>
    <w:rsid w:val="536F612B"/>
    <w:rsid w:val="538A3B0C"/>
    <w:rsid w:val="53F6332C"/>
    <w:rsid w:val="54C87412"/>
    <w:rsid w:val="55274F85"/>
    <w:rsid w:val="55366A71"/>
    <w:rsid w:val="55A0016F"/>
    <w:rsid w:val="55D90275"/>
    <w:rsid w:val="560F078A"/>
    <w:rsid w:val="56A01BAA"/>
    <w:rsid w:val="56BF2541"/>
    <w:rsid w:val="56D3138F"/>
    <w:rsid w:val="56D91215"/>
    <w:rsid w:val="574B2965"/>
    <w:rsid w:val="5753196B"/>
    <w:rsid w:val="576B2927"/>
    <w:rsid w:val="576E0053"/>
    <w:rsid w:val="57E06360"/>
    <w:rsid w:val="57F65D95"/>
    <w:rsid w:val="5804448E"/>
    <w:rsid w:val="580F4197"/>
    <w:rsid w:val="585C314A"/>
    <w:rsid w:val="585E5944"/>
    <w:rsid w:val="58B51802"/>
    <w:rsid w:val="59016884"/>
    <w:rsid w:val="592F5142"/>
    <w:rsid w:val="59481AC4"/>
    <w:rsid w:val="595D05EE"/>
    <w:rsid w:val="59CF0A9D"/>
    <w:rsid w:val="59F65961"/>
    <w:rsid w:val="59FB654D"/>
    <w:rsid w:val="5A207B86"/>
    <w:rsid w:val="5A813DB9"/>
    <w:rsid w:val="5A913FA4"/>
    <w:rsid w:val="5A984EBE"/>
    <w:rsid w:val="5AA621C6"/>
    <w:rsid w:val="5ABD6205"/>
    <w:rsid w:val="5ADF16D3"/>
    <w:rsid w:val="5B897E63"/>
    <w:rsid w:val="5B8F2ED9"/>
    <w:rsid w:val="5C122925"/>
    <w:rsid w:val="5C207B33"/>
    <w:rsid w:val="5C7051B8"/>
    <w:rsid w:val="5CBB3D0E"/>
    <w:rsid w:val="5CC874D2"/>
    <w:rsid w:val="5D215216"/>
    <w:rsid w:val="5D317FA5"/>
    <w:rsid w:val="5D3D4880"/>
    <w:rsid w:val="5D510CFE"/>
    <w:rsid w:val="5D6A19ED"/>
    <w:rsid w:val="5DA110B8"/>
    <w:rsid w:val="5DDB2D07"/>
    <w:rsid w:val="5DE32336"/>
    <w:rsid w:val="5E4151C7"/>
    <w:rsid w:val="5F065FAE"/>
    <w:rsid w:val="5F07419D"/>
    <w:rsid w:val="5F147196"/>
    <w:rsid w:val="5F1E7872"/>
    <w:rsid w:val="5F2C4CA8"/>
    <w:rsid w:val="5F2E751A"/>
    <w:rsid w:val="5F4851C3"/>
    <w:rsid w:val="5F8846D0"/>
    <w:rsid w:val="5FA46DEB"/>
    <w:rsid w:val="5FAF60BE"/>
    <w:rsid w:val="5FC27D10"/>
    <w:rsid w:val="61745166"/>
    <w:rsid w:val="6186628F"/>
    <w:rsid w:val="61B77340"/>
    <w:rsid w:val="61CD68D0"/>
    <w:rsid w:val="61E2279C"/>
    <w:rsid w:val="61EA04EF"/>
    <w:rsid w:val="622C6B72"/>
    <w:rsid w:val="622F6D22"/>
    <w:rsid w:val="62575637"/>
    <w:rsid w:val="626E180F"/>
    <w:rsid w:val="626F5D49"/>
    <w:rsid w:val="62831F0E"/>
    <w:rsid w:val="63253C81"/>
    <w:rsid w:val="6373184D"/>
    <w:rsid w:val="639F1128"/>
    <w:rsid w:val="63A61E7A"/>
    <w:rsid w:val="6416110D"/>
    <w:rsid w:val="642D02D6"/>
    <w:rsid w:val="65020182"/>
    <w:rsid w:val="6569254B"/>
    <w:rsid w:val="656F318E"/>
    <w:rsid w:val="65C46B4F"/>
    <w:rsid w:val="65E44649"/>
    <w:rsid w:val="66250B7A"/>
    <w:rsid w:val="662D7DCA"/>
    <w:rsid w:val="663943CF"/>
    <w:rsid w:val="663D5411"/>
    <w:rsid w:val="66550C11"/>
    <w:rsid w:val="66AB0A37"/>
    <w:rsid w:val="670E7191"/>
    <w:rsid w:val="674E07D4"/>
    <w:rsid w:val="677302AB"/>
    <w:rsid w:val="67B84CED"/>
    <w:rsid w:val="68184E08"/>
    <w:rsid w:val="685B5B55"/>
    <w:rsid w:val="68A40908"/>
    <w:rsid w:val="68DA0368"/>
    <w:rsid w:val="6902556E"/>
    <w:rsid w:val="69280EC0"/>
    <w:rsid w:val="69D92947"/>
    <w:rsid w:val="69E940B6"/>
    <w:rsid w:val="6A016D0B"/>
    <w:rsid w:val="6A5D3A73"/>
    <w:rsid w:val="6B167892"/>
    <w:rsid w:val="6B400C03"/>
    <w:rsid w:val="6B8E28EF"/>
    <w:rsid w:val="6BE20878"/>
    <w:rsid w:val="6BE20961"/>
    <w:rsid w:val="6BE23F94"/>
    <w:rsid w:val="6C1347D7"/>
    <w:rsid w:val="6C35176E"/>
    <w:rsid w:val="6C485BAC"/>
    <w:rsid w:val="6CF70649"/>
    <w:rsid w:val="6D1D4B3B"/>
    <w:rsid w:val="6D3853F6"/>
    <w:rsid w:val="6DA54C16"/>
    <w:rsid w:val="6DFD7CD4"/>
    <w:rsid w:val="6F135A71"/>
    <w:rsid w:val="6F3A4A15"/>
    <w:rsid w:val="6FE95093"/>
    <w:rsid w:val="70165014"/>
    <w:rsid w:val="70207B6E"/>
    <w:rsid w:val="70326850"/>
    <w:rsid w:val="70775261"/>
    <w:rsid w:val="70A27F31"/>
    <w:rsid w:val="70DA2C14"/>
    <w:rsid w:val="70FF5871"/>
    <w:rsid w:val="7113031F"/>
    <w:rsid w:val="713C1FAA"/>
    <w:rsid w:val="714874B8"/>
    <w:rsid w:val="71677BC0"/>
    <w:rsid w:val="71A7479C"/>
    <w:rsid w:val="71C706DF"/>
    <w:rsid w:val="71D376AB"/>
    <w:rsid w:val="72437975"/>
    <w:rsid w:val="726F590E"/>
    <w:rsid w:val="72CC1E83"/>
    <w:rsid w:val="7303749F"/>
    <w:rsid w:val="73224CA8"/>
    <w:rsid w:val="7358254D"/>
    <w:rsid w:val="73924A98"/>
    <w:rsid w:val="73973924"/>
    <w:rsid w:val="7399198E"/>
    <w:rsid w:val="73A52CCB"/>
    <w:rsid w:val="73B23371"/>
    <w:rsid w:val="73B813CB"/>
    <w:rsid w:val="73D02A4A"/>
    <w:rsid w:val="73D677DD"/>
    <w:rsid w:val="73D70B56"/>
    <w:rsid w:val="73E97B4F"/>
    <w:rsid w:val="741B5617"/>
    <w:rsid w:val="742D3C1A"/>
    <w:rsid w:val="743D707D"/>
    <w:rsid w:val="74AA048A"/>
    <w:rsid w:val="74AE4F60"/>
    <w:rsid w:val="74C53312"/>
    <w:rsid w:val="74CF346D"/>
    <w:rsid w:val="7548147C"/>
    <w:rsid w:val="7549232D"/>
    <w:rsid w:val="75665184"/>
    <w:rsid w:val="756B3685"/>
    <w:rsid w:val="75A02C3D"/>
    <w:rsid w:val="75BC62EF"/>
    <w:rsid w:val="75C31BDD"/>
    <w:rsid w:val="75EC3788"/>
    <w:rsid w:val="76042E95"/>
    <w:rsid w:val="76045978"/>
    <w:rsid w:val="76112054"/>
    <w:rsid w:val="768D2BAD"/>
    <w:rsid w:val="76A80077"/>
    <w:rsid w:val="76CB4D43"/>
    <w:rsid w:val="77004391"/>
    <w:rsid w:val="77211CB2"/>
    <w:rsid w:val="77510F1F"/>
    <w:rsid w:val="775E73C1"/>
    <w:rsid w:val="776740B3"/>
    <w:rsid w:val="776F2BFE"/>
    <w:rsid w:val="778F480C"/>
    <w:rsid w:val="77D4405B"/>
    <w:rsid w:val="77DD37A2"/>
    <w:rsid w:val="78664AF9"/>
    <w:rsid w:val="78970D25"/>
    <w:rsid w:val="78E5641A"/>
    <w:rsid w:val="78EB4316"/>
    <w:rsid w:val="78F40384"/>
    <w:rsid w:val="78F43DFD"/>
    <w:rsid w:val="78F700D0"/>
    <w:rsid w:val="79463AC7"/>
    <w:rsid w:val="7A0636BB"/>
    <w:rsid w:val="7A225B16"/>
    <w:rsid w:val="7A3957D1"/>
    <w:rsid w:val="7A651C7D"/>
    <w:rsid w:val="7AE60548"/>
    <w:rsid w:val="7B861030"/>
    <w:rsid w:val="7B92225E"/>
    <w:rsid w:val="7C426301"/>
    <w:rsid w:val="7C4C347A"/>
    <w:rsid w:val="7C553324"/>
    <w:rsid w:val="7D4F3C8E"/>
    <w:rsid w:val="7D586A7B"/>
    <w:rsid w:val="7DE760B3"/>
    <w:rsid w:val="7E370610"/>
    <w:rsid w:val="7E5A7DA1"/>
    <w:rsid w:val="7E6174E6"/>
    <w:rsid w:val="7E706F04"/>
    <w:rsid w:val="7EE477B9"/>
    <w:rsid w:val="7F620525"/>
    <w:rsid w:val="7FC2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3">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toa heading"/>
    <w:basedOn w:val="1"/>
    <w:next w:val="1"/>
    <w:unhideWhenUsed/>
    <w:qFormat/>
    <w:uiPriority w:val="99"/>
    <w:pPr>
      <w:widowControl/>
      <w:spacing w:before="120" w:after="100" w:afterAutospacing="1"/>
    </w:pPr>
    <w:rPr>
      <w:rFonts w:ascii="Arial" w:hAnsi="Arial" w:cs="Arial"/>
      <w:sz w:val="24"/>
      <w:lang w:bidi="gu-IN"/>
    </w:rPr>
  </w:style>
  <w:style w:type="paragraph" w:styleId="4">
    <w:name w:val="annotation text"/>
    <w:basedOn w:val="1"/>
    <w:link w:val="17"/>
    <w:qFormat/>
    <w:uiPriority w:val="0"/>
    <w:pPr>
      <w:jc w:val="left"/>
    </w:pPr>
  </w:style>
  <w:style w:type="paragraph" w:styleId="5">
    <w:name w:val="Body Text"/>
    <w:basedOn w:val="1"/>
    <w:next w:val="6"/>
    <w:qFormat/>
    <w:uiPriority w:val="0"/>
    <w:rPr>
      <w:sz w:val="28"/>
    </w:rPr>
  </w:style>
  <w:style w:type="paragraph" w:styleId="6">
    <w:name w:val="toc 5"/>
    <w:basedOn w:val="1"/>
    <w:next w:val="1"/>
    <w:qFormat/>
    <w:uiPriority w:val="0"/>
    <w:pPr>
      <w:ind w:left="840"/>
      <w:jc w:val="left"/>
    </w:pPr>
    <w:rPr>
      <w:sz w:val="18"/>
      <w:szCs w:val="18"/>
    </w:rPr>
  </w:style>
  <w:style w:type="paragraph" w:styleId="7">
    <w:name w:val="Body Text Indent 2"/>
    <w:basedOn w:val="1"/>
    <w:qFormat/>
    <w:uiPriority w:val="0"/>
    <w:pPr>
      <w:ind w:firstLine="480"/>
    </w:pPr>
    <w:rPr>
      <w:rFonts w:ascii="宋体" w:hAnsi="宋体"/>
      <w:color w:val="000000"/>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qFormat/>
    <w:uiPriority w:val="0"/>
    <w:pPr>
      <w:snapToGrid w:val="0"/>
      <w:jc w:val="left"/>
    </w:pPr>
    <w:rPr>
      <w:sz w:val="18"/>
      <w:szCs w:val="18"/>
    </w:rPr>
  </w:style>
  <w:style w:type="paragraph" w:styleId="11">
    <w:name w:val="annotation subject"/>
    <w:basedOn w:val="4"/>
    <w:next w:val="4"/>
    <w:link w:val="18"/>
    <w:qFormat/>
    <w:uiPriority w:val="0"/>
    <w:rPr>
      <w:b/>
      <w:bCs/>
    </w:r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character" w:styleId="16">
    <w:name w:val="footnote reference"/>
    <w:qFormat/>
    <w:uiPriority w:val="0"/>
    <w:rPr>
      <w:vertAlign w:val="superscript"/>
    </w:rPr>
  </w:style>
  <w:style w:type="character" w:customStyle="1" w:styleId="17">
    <w:name w:val="批注文字 Char"/>
    <w:basedOn w:val="13"/>
    <w:link w:val="4"/>
    <w:qFormat/>
    <w:uiPriority w:val="0"/>
    <w:rPr>
      <w:rFonts w:ascii="Calibri" w:hAnsi="Calibri"/>
      <w:kern w:val="2"/>
      <w:sz w:val="21"/>
      <w:szCs w:val="24"/>
    </w:rPr>
  </w:style>
  <w:style w:type="character" w:customStyle="1" w:styleId="18">
    <w:name w:val="批注主题 Char"/>
    <w:basedOn w:val="17"/>
    <w:link w:val="11"/>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51026-5C49-4266-8AB1-DCBFEE93C620}">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2400</Words>
  <Characters>368</Characters>
  <Lines>3</Lines>
  <Paragraphs>5</Paragraphs>
  <TotalTime>3</TotalTime>
  <ScaleCrop>false</ScaleCrop>
  <LinksUpToDate>false</LinksUpToDate>
  <CharactersWithSpaces>2763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2024-07-17T02:19:00Z</dcterms:created>
  <dc:creator>Administrator</dc:creator>
  <cp:lastModifiedBy>董才广</cp:lastModifiedBy>
  <cp:lastPrinted>2022-11-07T05:14:00Z</cp:lastPrinted>
  <dcterms:modified xsi:type="dcterms:W3CDTF">2024-07-18T08:44:58Z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CE37BEE8D6374A35867225B86689957E</vt:lpwstr>
  </property>
</Properties>
</file>