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eastAsia" w:ascii="Times New Roman" w:hAnsi="Times New Roman" w:eastAsia="方正小标宋简体" w:cs="Times New Roman"/>
          <w:color w:val="auto"/>
          <w:spacing w:val="-6"/>
          <w:sz w:val="44"/>
          <w:szCs w:val="44"/>
          <w:highlight w:val="none"/>
        </w:rPr>
      </w:pPr>
      <w:r>
        <w:rPr>
          <w:rFonts w:hint="eastAsia" w:ascii="Times New Roman" w:hAnsi="Times New Roman" w:eastAsia="方正小标宋简体" w:cs="Times New Roman"/>
          <w:color w:val="auto"/>
          <w:spacing w:val="-6"/>
          <w:sz w:val="44"/>
          <w:szCs w:val="44"/>
          <w:highlight w:val="none"/>
        </w:rPr>
        <w:t>南头镇梁强“工改工”宗地项目</w:t>
      </w:r>
    </w:p>
    <w:p>
      <w:pPr>
        <w:snapToGrid w:val="0"/>
        <w:spacing w:line="570" w:lineRule="exact"/>
        <w:jc w:val="center"/>
        <w:rPr>
          <w:rFonts w:ascii="Times New Roman" w:hAnsi="Times New Roman" w:eastAsia="方正小标宋简体" w:cs="Times New Roman"/>
          <w:color w:val="auto"/>
          <w:spacing w:val="-6"/>
          <w:sz w:val="44"/>
          <w:szCs w:val="44"/>
          <w:highlight w:val="none"/>
        </w:rPr>
      </w:pPr>
      <w:r>
        <w:rPr>
          <w:rFonts w:hint="eastAsia" w:ascii="Times New Roman" w:hAnsi="Times New Roman" w:eastAsia="方正小标宋简体" w:cs="Times New Roman"/>
          <w:color w:val="auto"/>
          <w:spacing w:val="-6"/>
          <w:sz w:val="44"/>
          <w:szCs w:val="44"/>
          <w:highlight w:val="none"/>
        </w:rPr>
        <w:t>“三旧”改造方案</w:t>
      </w:r>
    </w:p>
    <w:p>
      <w:pPr>
        <w:spacing w:line="400" w:lineRule="exact"/>
        <w:jc w:val="center"/>
        <w:rPr>
          <w:b/>
          <w:bCs/>
          <w:color w:val="auto"/>
          <w:sz w:val="32"/>
          <w:szCs w:val="32"/>
          <w:highlight w:val="none"/>
        </w:rPr>
      </w:pP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根据现行控制性详细规划，南头镇人民政府拟对位于中山市南头镇穗西村</w:t>
      </w:r>
      <w:r>
        <w:rPr>
          <w:rFonts w:ascii="仿宋_GB2312" w:hAnsi="仿宋_GB2312" w:eastAsia="仿宋_GB2312" w:cs="仿宋_GB2312"/>
          <w:color w:val="auto"/>
          <w:spacing w:val="-6"/>
          <w:kern w:val="0"/>
          <w:sz w:val="32"/>
          <w:szCs w:val="32"/>
          <w:highlight w:val="none"/>
        </w:rPr>
        <w:t>梁强</w:t>
      </w:r>
      <w:r>
        <w:rPr>
          <w:rFonts w:hint="eastAsia" w:ascii="仿宋_GB2312" w:hAnsi="仿宋_GB2312" w:eastAsia="仿宋_GB2312" w:cs="仿宋_GB2312"/>
          <w:color w:val="auto"/>
          <w:spacing w:val="-6"/>
          <w:kern w:val="0"/>
          <w:sz w:val="32"/>
          <w:szCs w:val="32"/>
          <w:highlight w:val="none"/>
        </w:rPr>
        <w:t>的低效工业用地进行改造，由产权人</w:t>
      </w:r>
      <w:r>
        <w:rPr>
          <w:rFonts w:ascii="仿宋_GB2312" w:hAnsi="仿宋_GB2312" w:eastAsia="仿宋_GB2312" w:cs="仿宋_GB2312"/>
          <w:color w:val="auto"/>
          <w:spacing w:val="-6"/>
          <w:kern w:val="0"/>
          <w:sz w:val="32"/>
          <w:szCs w:val="32"/>
          <w:highlight w:val="none"/>
        </w:rPr>
        <w:t>梁强</w:t>
      </w:r>
      <w:r>
        <w:rPr>
          <w:rFonts w:hint="eastAsia" w:ascii="仿宋_GB2312" w:hAnsi="仿宋_GB2312" w:eastAsia="仿宋_GB2312" w:cs="仿宋_GB2312"/>
          <w:color w:val="auto"/>
          <w:spacing w:val="-6"/>
          <w:kern w:val="0"/>
          <w:sz w:val="32"/>
          <w:szCs w:val="32"/>
          <w:highlight w:val="none"/>
        </w:rPr>
        <w:t>进行自主改造，采取全面改造的改造方式。改造方案如下:</w:t>
      </w:r>
    </w:p>
    <w:p>
      <w:pPr>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一、地块基本情况</w:t>
      </w:r>
    </w:p>
    <w:p>
      <w:pPr>
        <w:ind w:firstLine="616" w:firstLineChars="200"/>
        <w:rPr>
          <w:rFonts w:ascii="仿宋" w:hAnsi="仿宋" w:eastAsia="仿宋" w:cs="仿宋"/>
          <w:color w:val="auto"/>
          <w:sz w:val="28"/>
          <w:szCs w:val="28"/>
          <w:highlight w:val="none"/>
        </w:rPr>
      </w:pPr>
      <w:r>
        <w:rPr>
          <w:rFonts w:hint="eastAsia" w:ascii="仿宋_GB2312" w:hAnsi="仿宋_GB2312" w:eastAsia="仿宋_GB2312" w:cs="仿宋_GB2312"/>
          <w:color w:val="auto"/>
          <w:spacing w:val="-6"/>
          <w:kern w:val="0"/>
          <w:sz w:val="32"/>
          <w:szCs w:val="32"/>
          <w:highlight w:val="none"/>
        </w:rPr>
        <w:t>（一）总体情况</w:t>
      </w:r>
    </w:p>
    <w:p>
      <w:pPr>
        <w:ind w:firstLine="616" w:firstLineChars="200"/>
        <w:rPr>
          <w:rFonts w:ascii="仿宋" w:hAnsi="仿宋" w:eastAsia="仿宋" w:cs="仿宋"/>
          <w:color w:val="auto"/>
          <w:sz w:val="28"/>
          <w:szCs w:val="28"/>
          <w:highlight w:val="none"/>
        </w:rPr>
      </w:pPr>
      <w:r>
        <w:rPr>
          <w:rFonts w:hint="eastAsia" w:ascii="仿宋_GB2312" w:hAnsi="仿宋_GB2312" w:eastAsia="仿宋_GB2312" w:cs="仿宋_GB2312"/>
          <w:color w:val="auto"/>
          <w:spacing w:val="-6"/>
          <w:kern w:val="0"/>
          <w:sz w:val="32"/>
          <w:szCs w:val="32"/>
          <w:highlight w:val="none"/>
        </w:rPr>
        <w:t>项目地块位于南头镇穗西村，总用地面积</w:t>
      </w:r>
      <w:r>
        <w:rPr>
          <w:rFonts w:ascii="仿宋_GB2312" w:hAnsi="仿宋_GB2312" w:eastAsia="仿宋_GB2312" w:cs="仿宋_GB2312"/>
          <w:color w:val="auto"/>
          <w:spacing w:val="-6"/>
          <w:kern w:val="0"/>
          <w:sz w:val="32"/>
          <w:szCs w:val="32"/>
          <w:highlight w:val="none"/>
        </w:rPr>
        <w:t>0.</w:t>
      </w:r>
      <w:r>
        <w:rPr>
          <w:rFonts w:hint="eastAsia" w:ascii="仿宋_GB2312" w:hAnsi="仿宋_GB2312" w:eastAsia="仿宋_GB2312" w:cs="仿宋_GB2312"/>
          <w:color w:val="auto"/>
          <w:spacing w:val="-6"/>
          <w:kern w:val="0"/>
          <w:sz w:val="32"/>
          <w:szCs w:val="32"/>
          <w:highlight w:val="none"/>
        </w:rPr>
        <w:t>3333公顷（3333.3平方米，折合约5亩）。</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（二）标图入库情况</w:t>
      </w:r>
    </w:p>
    <w:p>
      <w:pPr>
        <w:ind w:firstLine="616" w:firstLineChars="200"/>
        <w:rPr>
          <w:rFonts w:ascii="仿宋" w:hAnsi="仿宋" w:eastAsia="仿宋" w:cs="仿宋"/>
          <w:color w:val="auto"/>
          <w:sz w:val="28"/>
          <w:szCs w:val="28"/>
          <w:highlight w:val="none"/>
        </w:rPr>
      </w:pPr>
      <w:r>
        <w:rPr>
          <w:rFonts w:hint="eastAsia" w:ascii="仿宋_GB2312" w:hAnsi="仿宋_GB2312" w:eastAsia="仿宋_GB2312" w:cs="仿宋_GB2312"/>
          <w:color w:val="auto"/>
          <w:spacing w:val="-6"/>
          <w:kern w:val="0"/>
          <w:sz w:val="32"/>
          <w:szCs w:val="32"/>
          <w:highlight w:val="none"/>
        </w:rPr>
        <w:t>改造地块2009年12月31日前已建设，地上建筑物（构筑物）基底面积达到用地面积三分之一以上并使用至今。根据《中山市进一步优化“工改”审批机制实施方案》（中山工改发〔2023〕4 号）第二项第（一）点规定“经属地镇街利用城市更新一张图工具核实并书面承诺该用地符合上述条件，由市自然资源局派驻分局、火炬开发区自然资源局出具审查意见后按程序标图入库”。</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（三）权属情况</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改造地块属国有建设用地，土地用途为工业，改造涉及的土地已经确权、登记，</w:t>
      </w:r>
      <w:r>
        <w:rPr>
          <w:rFonts w:hint="eastAsia" w:ascii="仿宋_GB2312" w:hAnsi="仿宋_GB2312" w:eastAsia="仿宋_GB2312" w:cs="仿宋_GB2312"/>
          <w:color w:val="auto"/>
          <w:sz w:val="32"/>
          <w:szCs w:val="32"/>
          <w:highlight w:val="none"/>
        </w:rPr>
        <w:t>不动产权证号为：中府国用（</w:t>
      </w:r>
      <w:r>
        <w:rPr>
          <w:rFonts w:ascii="仿宋_GB2312" w:hAnsi="仿宋_GB2312" w:eastAsia="仿宋_GB2312" w:cs="仿宋_GB2312"/>
          <w:color w:val="auto"/>
          <w:sz w:val="32"/>
          <w:szCs w:val="32"/>
          <w:highlight w:val="none"/>
        </w:rPr>
        <w:t>2</w:t>
      </w:r>
      <w:bookmarkStart w:id="0" w:name="_GoBack"/>
      <w:bookmarkEnd w:id="0"/>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09）第易020808号</w:t>
      </w:r>
      <w:r>
        <w:rPr>
          <w:rFonts w:hint="eastAsia" w:ascii="仿宋_GB2312" w:hAnsi="仿宋_GB2312" w:eastAsia="仿宋_GB2312" w:cs="仿宋_GB2312"/>
          <w:color w:val="auto"/>
          <w:spacing w:val="-6"/>
          <w:kern w:val="0"/>
          <w:sz w:val="32"/>
          <w:szCs w:val="32"/>
          <w:highlight w:val="none"/>
        </w:rPr>
        <w:t>，为土地产权人</w:t>
      </w:r>
      <w:r>
        <w:rPr>
          <w:rFonts w:ascii="仿宋_GB2312" w:hAnsi="仿宋_GB2312" w:eastAsia="仿宋_GB2312" w:cs="仿宋_GB2312"/>
          <w:color w:val="auto"/>
          <w:spacing w:val="-6"/>
          <w:kern w:val="0"/>
          <w:sz w:val="32"/>
          <w:szCs w:val="32"/>
          <w:highlight w:val="none"/>
        </w:rPr>
        <w:t>梁强</w:t>
      </w:r>
      <w:r>
        <w:rPr>
          <w:rFonts w:hint="eastAsia" w:ascii="仿宋_GB2312" w:hAnsi="仿宋_GB2312" w:eastAsia="仿宋_GB2312" w:cs="仿宋_GB2312"/>
          <w:color w:val="auto"/>
          <w:spacing w:val="-6"/>
          <w:kern w:val="0"/>
          <w:sz w:val="32"/>
          <w:szCs w:val="32"/>
          <w:highlight w:val="none"/>
        </w:rPr>
        <w:t>自2009年开始使用。</w:t>
      </w:r>
    </w:p>
    <w:p>
      <w:pPr>
        <w:ind w:firstLine="616" w:firstLineChars="200"/>
        <w:rPr>
          <w:rFonts w:ascii="仿宋" w:hAnsi="仿宋" w:eastAsia="仿宋" w:cs="仿宋"/>
          <w:color w:val="auto"/>
          <w:sz w:val="28"/>
          <w:szCs w:val="28"/>
          <w:highlight w:val="none"/>
        </w:rPr>
      </w:pPr>
      <w:r>
        <w:rPr>
          <w:rFonts w:hint="eastAsia" w:ascii="仿宋_GB2312" w:hAnsi="仿宋_GB2312" w:eastAsia="仿宋_GB2312" w:cs="仿宋_GB2312"/>
          <w:color w:val="auto"/>
          <w:spacing w:val="-6"/>
          <w:kern w:val="0"/>
          <w:sz w:val="32"/>
          <w:szCs w:val="32"/>
          <w:highlight w:val="none"/>
        </w:rPr>
        <w:t>（四）土地利用现状情况</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改造范围内现有</w:t>
      </w:r>
      <w:r>
        <w:rPr>
          <w:rFonts w:hint="eastAsia" w:ascii="仿宋_GB2312" w:hAnsi="仿宋_GB2312" w:eastAsia="仿宋_GB2312" w:cs="仿宋_GB2312"/>
          <w:color w:val="auto"/>
          <w:spacing w:val="-6"/>
          <w:kern w:val="0"/>
          <w:sz w:val="32"/>
          <w:szCs w:val="32"/>
          <w:highlight w:val="none"/>
          <w:lang w:val="en-US" w:eastAsia="zh-CN"/>
        </w:rPr>
        <w:t>4</w:t>
      </w:r>
      <w:r>
        <w:rPr>
          <w:rFonts w:hint="eastAsia" w:ascii="仿宋_GB2312" w:hAnsi="仿宋_GB2312" w:eastAsia="仿宋_GB2312" w:cs="仿宋_GB2312"/>
          <w:color w:val="auto"/>
          <w:spacing w:val="-6"/>
          <w:kern w:val="0"/>
          <w:sz w:val="32"/>
          <w:szCs w:val="32"/>
          <w:highlight w:val="none"/>
        </w:rPr>
        <w:t>栋建筑物，自2002年开始使用。</w:t>
      </w:r>
      <w:r>
        <w:rPr>
          <w:rFonts w:hint="eastAsia" w:ascii="仿宋_GB2312" w:hAnsi="仿宋_GB2312" w:eastAsia="仿宋_GB2312" w:cs="仿宋_GB2312"/>
          <w:color w:val="auto"/>
          <w:sz w:val="32"/>
          <w:szCs w:val="32"/>
          <w:highlight w:val="none"/>
        </w:rPr>
        <w:t>现有建筑面积</w:t>
      </w:r>
      <w:r>
        <w:rPr>
          <w:rFonts w:hint="eastAsia" w:ascii="仿宋_GB2312" w:hAnsi="仿宋_GB2312" w:eastAsia="仿宋_GB2312" w:cs="仿宋_GB2312"/>
          <w:color w:val="auto"/>
          <w:sz w:val="32"/>
          <w:szCs w:val="32"/>
          <w:highlight w:val="none"/>
          <w:lang w:eastAsia="zh-CN"/>
        </w:rPr>
        <w:t>约</w:t>
      </w:r>
      <w:r>
        <w:rPr>
          <w:rFonts w:hint="eastAsia" w:ascii="仿宋_GB2312" w:hAnsi="仿宋_GB2312" w:eastAsia="仿宋_GB2312" w:cs="仿宋_GB2312"/>
          <w:color w:val="auto"/>
          <w:sz w:val="32"/>
          <w:szCs w:val="32"/>
          <w:highlight w:val="none"/>
          <w:lang w:val="en-US" w:eastAsia="zh-CN"/>
        </w:rPr>
        <w:t>2759</w:t>
      </w:r>
      <w:r>
        <w:rPr>
          <w:rFonts w:hint="eastAsia" w:ascii="仿宋_GB2312" w:hAnsi="仿宋_GB2312" w:eastAsia="仿宋_GB2312" w:cs="仿宋_GB2312"/>
          <w:color w:val="auto"/>
          <w:sz w:val="32"/>
          <w:szCs w:val="32"/>
          <w:highlight w:val="none"/>
        </w:rPr>
        <w:t>平方米</w:t>
      </w:r>
      <w:r>
        <w:rPr>
          <w:rFonts w:hint="eastAsia" w:ascii="仿宋_GB2312" w:hAnsi="仿宋_GB2312" w:eastAsia="仿宋_GB2312" w:cs="仿宋_GB2312"/>
          <w:color w:val="auto"/>
          <w:spacing w:val="-6"/>
          <w:kern w:val="0"/>
          <w:sz w:val="32"/>
          <w:szCs w:val="32"/>
          <w:highlight w:val="none"/>
        </w:rPr>
        <w:t>，</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办理规划报建等手续，</w:t>
      </w:r>
      <w:r>
        <w:rPr>
          <w:rFonts w:hint="eastAsia" w:ascii="仿宋_GB2312" w:hAnsi="仿宋_GB2312" w:eastAsia="仿宋_GB2312" w:cs="仿宋_GB2312"/>
          <w:color w:val="auto"/>
          <w:spacing w:val="-6"/>
          <w:kern w:val="0"/>
          <w:sz w:val="32"/>
          <w:szCs w:val="32"/>
          <w:highlight w:val="none"/>
        </w:rPr>
        <w:t>现状容积率</w:t>
      </w:r>
      <w:r>
        <w:rPr>
          <w:rFonts w:hint="eastAsia" w:ascii="仿宋_GB2312" w:hAnsi="仿宋_GB2312" w:eastAsia="仿宋_GB2312" w:cs="仿宋_GB2312"/>
          <w:color w:val="auto"/>
          <w:spacing w:val="-6"/>
          <w:kern w:val="0"/>
          <w:sz w:val="32"/>
          <w:szCs w:val="32"/>
          <w:highlight w:val="none"/>
          <w:lang w:eastAsia="zh-CN"/>
        </w:rPr>
        <w:t>约</w:t>
      </w:r>
      <w:r>
        <w:rPr>
          <w:rFonts w:hint="eastAsia" w:ascii="仿宋_GB2312" w:hAnsi="仿宋_GB2312" w:eastAsia="仿宋_GB2312" w:cs="仿宋_GB2312"/>
          <w:color w:val="auto"/>
          <w:spacing w:val="-6"/>
          <w:kern w:val="0"/>
          <w:sz w:val="32"/>
          <w:szCs w:val="32"/>
          <w:highlight w:val="none"/>
        </w:rPr>
        <w:t>0.</w:t>
      </w:r>
      <w:r>
        <w:rPr>
          <w:rFonts w:hint="eastAsia" w:ascii="仿宋_GB2312" w:hAnsi="仿宋_GB2312" w:eastAsia="仿宋_GB2312" w:cs="仿宋_GB2312"/>
          <w:color w:val="auto"/>
          <w:spacing w:val="-6"/>
          <w:kern w:val="0"/>
          <w:sz w:val="32"/>
          <w:szCs w:val="32"/>
          <w:highlight w:val="none"/>
          <w:lang w:val="en-US" w:eastAsia="zh-CN"/>
        </w:rPr>
        <w:t>83</w:t>
      </w:r>
      <w:r>
        <w:rPr>
          <w:rFonts w:hint="eastAsia" w:ascii="仿宋_GB2312" w:hAnsi="仿宋_GB2312" w:eastAsia="仿宋_GB2312" w:cs="仿宋_GB2312"/>
          <w:color w:val="auto"/>
          <w:spacing w:val="-6"/>
          <w:kern w:val="0"/>
          <w:sz w:val="32"/>
          <w:szCs w:val="32"/>
          <w:highlight w:val="none"/>
        </w:rPr>
        <w:t>，</w:t>
      </w:r>
      <w:r>
        <w:rPr>
          <w:rFonts w:hint="eastAsia" w:ascii="仿宋_GB2312" w:hAnsi="仿宋_GB2312" w:eastAsia="仿宋_GB2312" w:cs="仿宋_GB2312"/>
          <w:color w:val="auto"/>
          <w:spacing w:val="-6"/>
          <w:kern w:val="0"/>
          <w:sz w:val="32"/>
          <w:szCs w:val="32"/>
          <w:highlight w:val="none"/>
        </w:rPr>
        <w:t>作工业用途。目前未拆除现状建筑物。</w:t>
      </w:r>
      <w:r>
        <w:rPr>
          <w:rFonts w:hint="eastAsia" w:ascii="仿宋_GB2312" w:hAnsi="仿宋_GB2312" w:eastAsia="仿宋_GB2312" w:cs="仿宋_GB2312"/>
          <w:color w:val="auto"/>
          <w:spacing w:val="-6"/>
          <w:kern w:val="0"/>
          <w:sz w:val="32"/>
          <w:szCs w:val="32"/>
          <w:highlight w:val="none"/>
        </w:rPr>
        <w:t>改造前年产值约为300万元（折合约60万元/亩），年税收约为10万元（折合约2万元/亩）</w:t>
      </w:r>
      <w:r>
        <w:rPr>
          <w:rFonts w:hint="eastAsia" w:ascii="仿宋_GB2312" w:hAnsi="仿宋_GB2312" w:eastAsia="仿宋_GB2312" w:cs="仿宋_GB2312"/>
          <w:color w:val="auto"/>
          <w:spacing w:val="-6"/>
          <w:kern w:val="0"/>
          <w:sz w:val="32"/>
          <w:szCs w:val="32"/>
          <w:highlight w:val="none"/>
        </w:rPr>
        <w:t>。</w:t>
      </w:r>
    </w:p>
    <w:p>
      <w:pPr>
        <w:ind w:firstLine="616" w:firstLineChars="200"/>
        <w:rPr>
          <w:rFonts w:ascii="仿宋_GB2312" w:hAnsi="仿宋_GB2312" w:eastAsia="仿宋_GB2312" w:cs="仿宋_GB2312"/>
          <w:color w:val="auto"/>
          <w:spacing w:val="-6"/>
          <w:kern w:val="0"/>
          <w:sz w:val="32"/>
          <w:szCs w:val="32"/>
          <w:highlight w:val="none"/>
        </w:rPr>
      </w:pPr>
      <w:r>
        <w:rPr>
          <w:rFonts w:ascii="仿宋_GB2312" w:hAnsi="仿宋_GB2312" w:eastAsia="仿宋_GB2312" w:cs="仿宋_GB2312"/>
          <w:color w:val="auto"/>
          <w:spacing w:val="-6"/>
          <w:kern w:val="0"/>
          <w:sz w:val="32"/>
          <w:szCs w:val="32"/>
          <w:highlight w:val="none"/>
        </w:rPr>
        <w:t>改造</w:t>
      </w:r>
      <w:r>
        <w:rPr>
          <w:rFonts w:hint="eastAsia" w:ascii="仿宋_GB2312" w:hAnsi="仿宋_GB2312" w:eastAsia="仿宋_GB2312" w:cs="仿宋_GB2312"/>
          <w:color w:val="auto"/>
          <w:spacing w:val="-6"/>
          <w:kern w:val="0"/>
          <w:sz w:val="32"/>
          <w:szCs w:val="32"/>
          <w:highlight w:val="none"/>
        </w:rPr>
        <w:t>主体</w:t>
      </w:r>
      <w:r>
        <w:rPr>
          <w:rFonts w:ascii="仿宋_GB2312" w:hAnsi="仿宋_GB2312" w:eastAsia="仿宋_GB2312" w:cs="仿宋_GB2312"/>
          <w:color w:val="auto"/>
          <w:spacing w:val="-6"/>
          <w:kern w:val="0"/>
          <w:sz w:val="32"/>
          <w:szCs w:val="32"/>
          <w:highlight w:val="none"/>
        </w:rPr>
        <w:t>地块闲置情况</w:t>
      </w:r>
      <w:r>
        <w:rPr>
          <w:rFonts w:hint="eastAsia" w:ascii="仿宋_GB2312" w:hAnsi="仿宋_GB2312" w:eastAsia="仿宋_GB2312" w:cs="仿宋_GB2312"/>
          <w:color w:val="auto"/>
          <w:spacing w:val="-6"/>
          <w:kern w:val="0"/>
          <w:sz w:val="32"/>
          <w:szCs w:val="32"/>
          <w:highlight w:val="none"/>
        </w:rPr>
        <w:t>：经核查，地块符合《中山市旧厂房改造升级实施细则（修订）》（中府〔2023〕58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规定；根据《中山市进一步优化“工改”审批机制实施方案》（中山工改发〔2023〕4 号）第二项第（一）点规定，改造地块拟于改造方案批复后办理闲置放行手续。</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改造主体地块</w:t>
      </w:r>
      <w:r>
        <w:rPr>
          <w:rFonts w:ascii="仿宋_GB2312" w:hAnsi="仿宋_GB2312" w:eastAsia="仿宋_GB2312" w:cs="仿宋_GB2312"/>
          <w:color w:val="auto"/>
          <w:spacing w:val="-6"/>
          <w:kern w:val="0"/>
          <w:sz w:val="32"/>
          <w:szCs w:val="32"/>
          <w:highlight w:val="none"/>
        </w:rPr>
        <w:t>不涉及查封、</w:t>
      </w:r>
      <w:r>
        <w:rPr>
          <w:rFonts w:hint="eastAsia" w:ascii="仿宋_GB2312" w:hAnsi="仿宋_GB2312" w:eastAsia="仿宋_GB2312" w:cs="仿宋_GB2312"/>
          <w:color w:val="auto"/>
          <w:spacing w:val="-6"/>
          <w:kern w:val="0"/>
          <w:sz w:val="32"/>
          <w:szCs w:val="32"/>
          <w:highlight w:val="none"/>
        </w:rPr>
        <w:t>抵押、</w:t>
      </w:r>
      <w:r>
        <w:rPr>
          <w:rFonts w:ascii="仿宋_GB2312" w:hAnsi="仿宋_GB2312" w:eastAsia="仿宋_GB2312" w:cs="仿宋_GB2312"/>
          <w:color w:val="auto"/>
          <w:spacing w:val="-6"/>
          <w:kern w:val="0"/>
          <w:sz w:val="32"/>
          <w:szCs w:val="32"/>
          <w:highlight w:val="none"/>
        </w:rPr>
        <w:t>历史文化资源要素</w:t>
      </w:r>
      <w:r>
        <w:rPr>
          <w:rFonts w:hint="eastAsia" w:ascii="仿宋_GB2312" w:hAnsi="仿宋_GB2312" w:eastAsia="仿宋_GB2312" w:cs="仿宋_GB2312"/>
          <w:color w:val="auto"/>
          <w:spacing w:val="-6"/>
          <w:kern w:val="0"/>
          <w:sz w:val="32"/>
          <w:szCs w:val="32"/>
          <w:highlight w:val="none"/>
        </w:rPr>
        <w:t>、森林资源、土壤环境潜在监管地块</w:t>
      </w:r>
      <w:r>
        <w:rPr>
          <w:rFonts w:ascii="仿宋_GB2312" w:hAnsi="仿宋_GB2312" w:eastAsia="仿宋_GB2312" w:cs="仿宋_GB2312"/>
          <w:color w:val="auto"/>
          <w:spacing w:val="-6"/>
          <w:kern w:val="0"/>
          <w:sz w:val="32"/>
          <w:szCs w:val="32"/>
          <w:highlight w:val="none"/>
        </w:rPr>
        <w:t>等情况</w:t>
      </w:r>
      <w:r>
        <w:rPr>
          <w:rFonts w:hint="eastAsia" w:ascii="仿宋_GB2312" w:hAnsi="仿宋_GB2312" w:eastAsia="仿宋_GB2312" w:cs="仿宋_GB2312"/>
          <w:color w:val="auto"/>
          <w:spacing w:val="-6"/>
          <w:kern w:val="0"/>
          <w:sz w:val="32"/>
          <w:szCs w:val="32"/>
          <w:highlight w:val="none"/>
        </w:rPr>
        <w:t>。</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（五）规划情况</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改造地块符合国土空间总体规划及控制性详细规划。其中，在国土空间总体规划中，属城乡建设用地</w:t>
      </w:r>
      <w:r>
        <w:rPr>
          <w:rFonts w:ascii="仿宋_GB2312" w:hAnsi="仿宋_GB2312" w:eastAsia="仿宋_GB2312" w:cs="仿宋_GB2312"/>
          <w:color w:val="auto"/>
          <w:spacing w:val="-6"/>
          <w:kern w:val="0"/>
          <w:sz w:val="32"/>
          <w:szCs w:val="32"/>
          <w:highlight w:val="none"/>
        </w:rPr>
        <w:t>0.</w:t>
      </w:r>
      <w:r>
        <w:rPr>
          <w:rFonts w:hint="eastAsia" w:ascii="仿宋_GB2312" w:hAnsi="仿宋_GB2312" w:eastAsia="仿宋_GB2312" w:cs="仿宋_GB2312"/>
          <w:color w:val="auto"/>
          <w:spacing w:val="-6"/>
          <w:kern w:val="0"/>
          <w:sz w:val="32"/>
          <w:szCs w:val="32"/>
          <w:highlight w:val="none"/>
        </w:rPr>
        <w:t>3333公顷（3333.3平方米，折合约5亩）；在《中山市南头镇工业用地规划条件论证报告》（中府函〔2022〕317号）中，均为一类工业用地，规划容积率1-3.5,建筑密度35%-60%，绿地率10%-15%，建筑高度50米。</w:t>
      </w:r>
    </w:p>
    <w:p>
      <w:pPr>
        <w:ind w:firstLine="616" w:firstLineChars="200"/>
        <w:rPr>
          <w:rFonts w:ascii="仿宋_GB2312" w:hAnsi="仿宋_GB2312" w:eastAsia="仿宋_GB2312" w:cs="仿宋_GB2312"/>
          <w:color w:val="auto"/>
          <w:spacing w:val="-6"/>
          <w:kern w:val="0"/>
          <w:sz w:val="32"/>
          <w:szCs w:val="32"/>
          <w:highlight w:val="none"/>
        </w:rPr>
      </w:pPr>
      <w:r>
        <w:rPr>
          <w:rFonts w:ascii="仿宋_GB2312" w:hAnsi="仿宋_GB2312" w:eastAsia="仿宋_GB2312" w:cs="仿宋_GB2312"/>
          <w:color w:val="auto"/>
          <w:spacing w:val="-6"/>
          <w:kern w:val="0"/>
          <w:sz w:val="32"/>
          <w:szCs w:val="32"/>
          <w:highlight w:val="none"/>
        </w:rPr>
        <w:t>改造主体地块位于</w:t>
      </w:r>
      <w:r>
        <w:rPr>
          <w:rFonts w:hint="eastAsia" w:ascii="仿宋_GB2312" w:hAnsi="仿宋_GB2312" w:eastAsia="仿宋_GB2312" w:cs="仿宋_GB2312"/>
          <w:color w:val="auto"/>
          <w:spacing w:val="-6"/>
          <w:kern w:val="0"/>
          <w:sz w:val="32"/>
          <w:szCs w:val="32"/>
          <w:highlight w:val="none"/>
        </w:rPr>
        <w:t>“三区三线”</w:t>
      </w:r>
      <w:r>
        <w:rPr>
          <w:rFonts w:ascii="仿宋_GB2312" w:hAnsi="仿宋_GB2312" w:eastAsia="仿宋_GB2312" w:cs="仿宋_GB2312"/>
          <w:color w:val="auto"/>
          <w:spacing w:val="-6"/>
          <w:kern w:val="0"/>
          <w:sz w:val="32"/>
          <w:szCs w:val="32"/>
          <w:highlight w:val="none"/>
        </w:rPr>
        <w:t>城镇开发边界内，不涉及永久基本农田、生态保护红线等管控要求</w:t>
      </w:r>
      <w:r>
        <w:rPr>
          <w:rFonts w:hint="eastAsia" w:ascii="仿宋_GB2312" w:hAnsi="仿宋_GB2312" w:eastAsia="仿宋_GB2312" w:cs="仿宋_GB2312"/>
          <w:color w:val="auto"/>
          <w:spacing w:val="-6"/>
          <w:kern w:val="0"/>
          <w:sz w:val="32"/>
          <w:szCs w:val="32"/>
          <w:highlight w:val="none"/>
        </w:rPr>
        <w:t>。</w:t>
      </w:r>
    </w:p>
    <w:p>
      <w:pPr>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二、改造意愿情况</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改造范围涉及</w:t>
      </w:r>
      <w:r>
        <w:rPr>
          <w:rFonts w:ascii="仿宋_GB2312" w:hAnsi="仿宋_GB2312" w:eastAsia="仿宋_GB2312" w:cs="仿宋_GB2312"/>
          <w:color w:val="auto"/>
          <w:spacing w:val="-6"/>
          <w:kern w:val="0"/>
          <w:sz w:val="32"/>
          <w:szCs w:val="32"/>
          <w:highlight w:val="none"/>
        </w:rPr>
        <w:t>梁强</w:t>
      </w:r>
      <w:r>
        <w:rPr>
          <w:rFonts w:hint="eastAsia" w:ascii="仿宋_GB2312" w:hAnsi="仿宋_GB2312" w:eastAsia="仿宋_GB2312" w:cs="仿宋_GB2312"/>
          <w:color w:val="auto"/>
          <w:spacing w:val="-6"/>
          <w:kern w:val="0"/>
          <w:sz w:val="32"/>
          <w:szCs w:val="32"/>
          <w:highlight w:val="none"/>
        </w:rPr>
        <w:t>1个权利主体，南头镇人民政府已按照法律法规，就改造范围、土地现状、改造主体及拟改造情况等事项征询涉及所有产权人改造意愿，同意将涉及土地、房屋纳入改造范围。</w:t>
      </w:r>
    </w:p>
    <w:p>
      <w:pPr>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三、改造主体及拟改造情况</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根据有关规划要求，改造项目严格按照国土空间总体规划、控制性详细规划管控要求实施建设。</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改造项目拟采取土地产权人自主改造方式，由</w:t>
      </w:r>
      <w:r>
        <w:rPr>
          <w:rFonts w:ascii="仿宋_GB2312" w:hAnsi="仿宋_GB2312" w:eastAsia="仿宋_GB2312" w:cs="仿宋_GB2312"/>
          <w:color w:val="auto"/>
          <w:spacing w:val="-6"/>
          <w:kern w:val="0"/>
          <w:sz w:val="32"/>
          <w:szCs w:val="32"/>
          <w:highlight w:val="none"/>
        </w:rPr>
        <w:t>梁强</w:t>
      </w:r>
      <w:r>
        <w:rPr>
          <w:rFonts w:hint="eastAsia" w:ascii="仿宋_GB2312" w:hAnsi="仿宋_GB2312" w:eastAsia="仿宋_GB2312" w:cs="仿宋_GB2312"/>
          <w:color w:val="auto"/>
          <w:spacing w:val="-6"/>
          <w:kern w:val="0"/>
          <w:sz w:val="32"/>
          <w:szCs w:val="32"/>
          <w:highlight w:val="none"/>
        </w:rPr>
        <w:t>作为改造主体，实施全面改造。改造后将用于五金、家电、包装、塑料、注塑等行业，在符合详细规划的基础上，容积率不小于2.0，总建筑面积不小于6666平方米，其中新建建筑面积不小于6666平方米。</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项目相关情况符合国家《产业结构调整指导目录》、《中山市“三线一单”生态环境分区管控方案》、《中山市涉挥发性有机物项目环保管理规定》。</w:t>
      </w:r>
      <w:r>
        <w:rPr>
          <w:rFonts w:hint="eastAsia" w:ascii="仿宋_GB2312" w:hAnsi="仿宋_GB2312" w:eastAsia="仿宋_GB2312" w:cs="仿宋_GB2312"/>
          <w:color w:val="auto"/>
          <w:spacing w:val="-6"/>
          <w:kern w:val="0"/>
          <w:sz w:val="32"/>
          <w:szCs w:val="32"/>
          <w:highlight w:val="none"/>
        </w:rPr>
        <w:t>改造后年产值将达到1000万元（折合约200万元/亩），年税收将达到50万元（折合约10万元/亩）。</w:t>
      </w:r>
    </w:p>
    <w:p>
      <w:pPr>
        <w:ind w:firstLine="616" w:firstLineChars="200"/>
        <w:rPr>
          <w:rFonts w:ascii="仿宋" w:hAnsi="仿宋" w:eastAsia="仿宋" w:cs="仿宋"/>
          <w:color w:val="auto"/>
          <w:sz w:val="28"/>
          <w:szCs w:val="28"/>
          <w:highlight w:val="none"/>
        </w:rPr>
      </w:pPr>
      <w:r>
        <w:rPr>
          <w:rFonts w:hint="eastAsia" w:ascii="黑体" w:hAnsi="黑体" w:eastAsia="黑体" w:cs="黑体"/>
          <w:color w:val="auto"/>
          <w:spacing w:val="-6"/>
          <w:kern w:val="0"/>
          <w:sz w:val="32"/>
          <w:szCs w:val="32"/>
          <w:highlight w:val="none"/>
        </w:rPr>
        <w:t>四、资金筹措</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项目改造成本约为1000万元，由改造主体拟投入资金</w:t>
      </w:r>
      <w:r>
        <w:rPr>
          <w:rFonts w:hint="default" w:ascii="仿宋_GB2312" w:hAnsi="仿宋_GB2312" w:eastAsia="仿宋_GB2312" w:cs="仿宋_GB2312"/>
          <w:color w:val="auto"/>
          <w:spacing w:val="-6"/>
          <w:kern w:val="0"/>
          <w:sz w:val="32"/>
          <w:szCs w:val="32"/>
          <w:highlight w:val="none"/>
          <w:lang w:val="en-US"/>
        </w:rPr>
        <w:t>1000</w:t>
      </w:r>
      <w:r>
        <w:rPr>
          <w:rFonts w:hint="eastAsia" w:ascii="仿宋_GB2312" w:hAnsi="仿宋_GB2312" w:eastAsia="仿宋_GB2312" w:cs="仿宋_GB2312"/>
          <w:color w:val="auto"/>
          <w:spacing w:val="-6"/>
          <w:kern w:val="0"/>
          <w:sz w:val="32"/>
          <w:szCs w:val="32"/>
          <w:highlight w:val="none"/>
        </w:rPr>
        <w:t>万元，其中自有资金350万元</w:t>
      </w:r>
      <w:r>
        <w:rPr>
          <w:rFonts w:hint="default" w:ascii="仿宋_GB2312" w:hAnsi="仿宋_GB2312" w:eastAsia="仿宋_GB2312" w:cs="仿宋_GB2312"/>
          <w:color w:val="auto"/>
          <w:spacing w:val="-6"/>
          <w:kern w:val="0"/>
          <w:sz w:val="32"/>
          <w:szCs w:val="32"/>
          <w:highlight w:val="none"/>
          <w:lang w:val="en-US"/>
        </w:rPr>
        <w:t>,</w:t>
      </w:r>
      <w:r>
        <w:rPr>
          <w:rFonts w:hint="eastAsia" w:ascii="仿宋_GB2312" w:hAnsi="仿宋_GB2312" w:eastAsia="仿宋_GB2312" w:cs="仿宋_GB2312"/>
          <w:color w:val="auto"/>
          <w:spacing w:val="-6"/>
          <w:kern w:val="0"/>
          <w:sz w:val="32"/>
          <w:szCs w:val="32"/>
          <w:highlight w:val="none"/>
          <w:lang w:val="en-US" w:eastAsia="zh-CN"/>
        </w:rPr>
        <w:t>银行借贷650万元</w:t>
      </w:r>
      <w:r>
        <w:rPr>
          <w:rFonts w:hint="eastAsia" w:ascii="仿宋_GB2312" w:hAnsi="仿宋_GB2312" w:eastAsia="仿宋_GB2312" w:cs="仿宋_GB2312"/>
          <w:color w:val="auto"/>
          <w:spacing w:val="-6"/>
          <w:kern w:val="0"/>
          <w:sz w:val="32"/>
          <w:szCs w:val="32"/>
          <w:highlight w:val="none"/>
        </w:rPr>
        <w:t>。</w:t>
      </w:r>
    </w:p>
    <w:p>
      <w:pPr>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五、开发时序</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项目改造周期为2年，拟分一期开发。动工时间为2026年3月，竣工时间为2028年3月,拟投入资金1000万元</w:t>
      </w:r>
      <w:r>
        <w:rPr>
          <w:rFonts w:hint="eastAsia" w:ascii="仿宋_GB2312" w:hAnsi="仿宋_GB2312" w:eastAsia="仿宋_GB2312" w:cs="仿宋_GB2312"/>
          <w:color w:val="auto"/>
          <w:spacing w:val="-6"/>
          <w:kern w:val="0"/>
          <w:sz w:val="32"/>
          <w:szCs w:val="32"/>
          <w:highlight w:val="none"/>
        </w:rPr>
        <w:t>，拟建建筑面积不小于6666平方米，主要实施建设工业厂房。</w:t>
      </w:r>
    </w:p>
    <w:p>
      <w:pPr>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六、实施监管</w:t>
      </w:r>
    </w:p>
    <w:p>
      <w:pPr>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详见南头镇与改造主体签订的项目实施监管协议。</w:t>
      </w: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sectPr>
      <w:pgSz w:w="11906" w:h="16838"/>
      <w:pgMar w:top="1440" w:right="1803"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WQxMzYyYTY3MDllZTljMzU3NzZiNjU5NjJjOTEifQ=="/>
  </w:docVars>
  <w:rsids>
    <w:rsidRoot w:val="00B24776"/>
    <w:rsid w:val="00136A49"/>
    <w:rsid w:val="00B24776"/>
    <w:rsid w:val="00DE2A51"/>
    <w:rsid w:val="0C24314A"/>
    <w:rsid w:val="17666F6F"/>
    <w:rsid w:val="213A1B47"/>
    <w:rsid w:val="27806BAA"/>
    <w:rsid w:val="29CF16E1"/>
    <w:rsid w:val="2A7A21AE"/>
    <w:rsid w:val="2D365318"/>
    <w:rsid w:val="30B70B90"/>
    <w:rsid w:val="348E2278"/>
    <w:rsid w:val="36474D8D"/>
    <w:rsid w:val="38080A88"/>
    <w:rsid w:val="3BFD3176"/>
    <w:rsid w:val="44174B03"/>
    <w:rsid w:val="460232BA"/>
    <w:rsid w:val="54BA2F48"/>
    <w:rsid w:val="5D0B7C5E"/>
    <w:rsid w:val="5DC42461"/>
    <w:rsid w:val="5EFD120B"/>
    <w:rsid w:val="60C8740B"/>
    <w:rsid w:val="620265BF"/>
    <w:rsid w:val="67050FE8"/>
    <w:rsid w:val="69467E62"/>
    <w:rsid w:val="6DBB1DDA"/>
    <w:rsid w:val="701D41BA"/>
    <w:rsid w:val="723643C2"/>
    <w:rsid w:val="760A0BFC"/>
    <w:rsid w:val="7F105F6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Title"/>
    <w:basedOn w:val="1"/>
    <w:next w:val="1"/>
    <w:link w:val="8"/>
    <w:qFormat/>
    <w:uiPriority w:val="0"/>
    <w:pPr>
      <w:spacing w:before="240" w:after="60"/>
      <w:jc w:val="center"/>
      <w:outlineLvl w:val="0"/>
    </w:pPr>
    <w:rPr>
      <w:rFonts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标题 1 Char"/>
    <w:basedOn w:val="7"/>
    <w:link w:val="3"/>
    <w:uiPriority w:val="0"/>
    <w:rPr>
      <w:rFonts w:ascii="Calibri" w:hAnsi="Calibri" w:cs="Arial"/>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Words>
  <Characters>1394</Characters>
  <Lines>11</Lines>
  <Paragraphs>3</Paragraphs>
  <TotalTime>3</TotalTime>
  <ScaleCrop>false</ScaleCrop>
  <LinksUpToDate>false</LinksUpToDate>
  <CharactersWithSpaces>1635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2023-10-25T01:08:00Z</dcterms:created>
  <dc:creator>2210132C</dc:creator>
  <cp:lastModifiedBy>高玉德</cp:lastModifiedBy>
  <dcterms:modified xsi:type="dcterms:W3CDTF">2024-06-28T08:53:16Z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940888EE88114B59B56713601A60B6A3</vt:lpwstr>
  </property>
  <property fmtid="{D5CDD505-2E9C-101B-9397-08002B2CF9AE}" pid="3" name="KSOProductBuildVer">
    <vt:lpwstr>2052-11.8.2.11718</vt:lpwstr>
  </property>
</Properties>
</file>